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B9A" w:rsidRPr="004B2985" w:rsidRDefault="008B7B9A" w:rsidP="009B2EE2">
      <w:pPr>
        <w:pStyle w:val="Textoindependiente"/>
        <w:widowControl w:val="0"/>
        <w:tabs>
          <w:tab w:val="left" w:pos="2410"/>
          <w:tab w:val="left" w:pos="3119"/>
          <w:tab w:val="left" w:pos="3686"/>
          <w:tab w:val="left" w:pos="5954"/>
          <w:tab w:val="left" w:pos="6946"/>
        </w:tabs>
        <w:suppressAutoHyphens/>
        <w:spacing w:after="0" w:line="240" w:lineRule="auto"/>
        <w:ind w:left="3119" w:right="1985" w:hanging="1134"/>
        <w:jc w:val="both"/>
        <w:rPr>
          <w:rFonts w:ascii="Tahoma" w:hAnsi="Tahoma" w:cs="Tahoma"/>
          <w:i/>
          <w:sz w:val="20"/>
          <w:szCs w:val="20"/>
          <w:lang w:val="es-PE"/>
        </w:rPr>
      </w:pPr>
      <w:r w:rsidRPr="004B2985">
        <w:rPr>
          <w:rFonts w:ascii="Tahoma" w:hAnsi="Tahoma" w:cs="Tahoma"/>
          <w:b/>
          <w:i/>
          <w:sz w:val="20"/>
          <w:szCs w:val="20"/>
        </w:rPr>
        <w:t xml:space="preserve">Sumilla: </w:t>
      </w:r>
      <w:r w:rsidRPr="004B2985">
        <w:rPr>
          <w:rFonts w:ascii="Tahoma" w:hAnsi="Tahoma" w:cs="Tahoma"/>
          <w:i/>
          <w:sz w:val="20"/>
          <w:szCs w:val="20"/>
          <w:lang w:val="es-MX"/>
        </w:rPr>
        <w:t xml:space="preserve">Para </w:t>
      </w:r>
      <w:r w:rsidRPr="004B2985">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8B7B9A" w:rsidRPr="004B2985" w:rsidRDefault="008B7B9A" w:rsidP="004B2985">
      <w:pPr>
        <w:pStyle w:val="Textoindependiente3"/>
        <w:spacing w:after="0"/>
        <w:ind w:left="4248" w:right="179" w:firstLine="708"/>
        <w:jc w:val="both"/>
        <w:rPr>
          <w:rFonts w:ascii="Tahoma" w:hAnsi="Tahoma" w:cs="Tahoma"/>
          <w:b/>
          <w:sz w:val="20"/>
          <w:szCs w:val="20"/>
        </w:rPr>
      </w:pPr>
    </w:p>
    <w:p w:rsidR="008B7B9A" w:rsidRPr="004B2985" w:rsidRDefault="008B7B9A" w:rsidP="004B2985">
      <w:pPr>
        <w:pStyle w:val="Textoindependiente3"/>
        <w:spacing w:after="0"/>
        <w:ind w:left="4248" w:right="179" w:firstLine="708"/>
        <w:jc w:val="both"/>
        <w:rPr>
          <w:rFonts w:ascii="Tahoma" w:hAnsi="Tahoma" w:cs="Tahoma"/>
          <w:sz w:val="20"/>
          <w:szCs w:val="20"/>
        </w:rPr>
      </w:pPr>
      <w:r w:rsidRPr="004B2985">
        <w:rPr>
          <w:rFonts w:ascii="Tahoma" w:hAnsi="Tahoma" w:cs="Tahoma"/>
          <w:b/>
          <w:sz w:val="20"/>
          <w:szCs w:val="20"/>
        </w:rPr>
        <w:t>Lima</w:t>
      </w:r>
      <w:r w:rsidRPr="004B2985">
        <w:rPr>
          <w:rFonts w:ascii="Tahoma" w:hAnsi="Tahoma" w:cs="Tahoma"/>
          <w:sz w:val="20"/>
          <w:szCs w:val="20"/>
        </w:rPr>
        <w:t xml:space="preserve">, </w:t>
      </w:r>
      <w:r w:rsidR="0083238B">
        <w:rPr>
          <w:rFonts w:ascii="Tahoma" w:hAnsi="Tahoma" w:cs="Tahoma"/>
          <w:sz w:val="20"/>
          <w:szCs w:val="20"/>
        </w:rPr>
        <w:t xml:space="preserve"> 19 de Abril de 2011</w:t>
      </w:r>
    </w:p>
    <w:p w:rsidR="008B7B9A" w:rsidRPr="004B2985" w:rsidRDefault="008B7B9A" w:rsidP="004B2985">
      <w:pPr>
        <w:pStyle w:val="Textoindependiente3"/>
        <w:spacing w:after="0"/>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r w:rsidRPr="004B2985">
        <w:rPr>
          <w:rFonts w:ascii="Tahoma" w:hAnsi="Tahoma" w:cs="Tahoma"/>
          <w:b/>
          <w:sz w:val="20"/>
          <w:szCs w:val="20"/>
        </w:rPr>
        <w:t>VISTO</w:t>
      </w:r>
      <w:r w:rsidRPr="004B2985">
        <w:rPr>
          <w:rFonts w:ascii="Tahoma" w:hAnsi="Tahoma" w:cs="Tahoma"/>
          <w:sz w:val="20"/>
          <w:szCs w:val="20"/>
        </w:rPr>
        <w:t xml:space="preserve"> en sesión de fecha </w:t>
      </w:r>
      <w:r w:rsidR="004B2985">
        <w:rPr>
          <w:rFonts w:ascii="Tahoma" w:hAnsi="Tahoma" w:cs="Tahoma"/>
          <w:sz w:val="20"/>
          <w:szCs w:val="20"/>
        </w:rPr>
        <w:t>19</w:t>
      </w:r>
      <w:r w:rsidRPr="004B2985">
        <w:rPr>
          <w:rFonts w:ascii="Tahoma" w:hAnsi="Tahoma" w:cs="Tahoma"/>
          <w:sz w:val="20"/>
          <w:szCs w:val="20"/>
        </w:rPr>
        <w:t xml:space="preserve"> de </w:t>
      </w:r>
      <w:r w:rsidR="004B2985">
        <w:rPr>
          <w:rFonts w:ascii="Tahoma" w:hAnsi="Tahoma" w:cs="Tahoma"/>
          <w:sz w:val="20"/>
          <w:szCs w:val="20"/>
        </w:rPr>
        <w:t xml:space="preserve">abril </w:t>
      </w:r>
      <w:r w:rsidRPr="004B2985">
        <w:rPr>
          <w:rFonts w:ascii="Tahoma" w:hAnsi="Tahoma" w:cs="Tahoma"/>
          <w:sz w:val="20"/>
          <w:szCs w:val="20"/>
        </w:rPr>
        <w:t xml:space="preserve">de 2011 de la Primera Sala del Tribunal de Contrataciones del Estado el Expediente № </w:t>
      </w:r>
      <w:r w:rsidR="004B2985">
        <w:rPr>
          <w:rFonts w:ascii="Tahoma" w:hAnsi="Tahoma" w:cs="Tahoma"/>
          <w:sz w:val="20"/>
          <w:szCs w:val="20"/>
        </w:rPr>
        <w:t>1573</w:t>
      </w:r>
      <w:r w:rsidRPr="004B2985">
        <w:rPr>
          <w:rFonts w:ascii="Tahoma" w:hAnsi="Tahoma" w:cs="Tahoma"/>
          <w:sz w:val="20"/>
          <w:szCs w:val="20"/>
        </w:rPr>
        <w:t xml:space="preserve">/2010.TC, sobre el procedimiento administrativo sancionador contra </w:t>
      </w:r>
      <w:r w:rsidRPr="004B2985">
        <w:rPr>
          <w:rFonts w:ascii="Tahoma" w:hAnsi="Tahoma" w:cs="Tahoma"/>
          <w:sz w:val="20"/>
          <w:szCs w:val="20"/>
          <w:lang w:val="es-PE"/>
        </w:rPr>
        <w:t xml:space="preserve">la empresa </w:t>
      </w:r>
      <w:r w:rsidR="004B2985" w:rsidRPr="004B2985">
        <w:rPr>
          <w:rFonts w:ascii="Tahoma" w:hAnsi="Tahoma" w:cs="Tahoma"/>
          <w:sz w:val="20"/>
          <w:szCs w:val="20"/>
        </w:rPr>
        <w:t>El Escorial Constructora e Inmobiliaria S.A.C.</w:t>
      </w:r>
      <w:r w:rsidRPr="004B2985">
        <w:rPr>
          <w:rFonts w:ascii="Tahoma" w:hAnsi="Tahoma" w:cs="Tahoma"/>
          <w:sz w:val="20"/>
          <w:szCs w:val="20"/>
        </w:rPr>
        <w:t xml:space="preserve">, </w:t>
      </w:r>
      <w:r w:rsidRPr="004B2985">
        <w:rPr>
          <w:rFonts w:ascii="Tahoma" w:hAnsi="Tahoma" w:cs="Tahoma"/>
          <w:sz w:val="20"/>
          <w:szCs w:val="20"/>
          <w:lang w:val="es-MX"/>
        </w:rPr>
        <w:t>por la presentación de documentos falsos</w:t>
      </w:r>
      <w:r w:rsidR="009B2EE2">
        <w:rPr>
          <w:rFonts w:ascii="Tahoma" w:hAnsi="Tahoma" w:cs="Tahoma"/>
          <w:sz w:val="20"/>
          <w:szCs w:val="20"/>
          <w:lang w:val="es-MX"/>
        </w:rPr>
        <w:t>,</w:t>
      </w:r>
      <w:r w:rsidRPr="004B2985">
        <w:rPr>
          <w:rFonts w:ascii="Tahoma" w:hAnsi="Tahoma" w:cs="Tahoma"/>
          <w:sz w:val="20"/>
          <w:szCs w:val="20"/>
          <w:lang w:val="es-MX"/>
        </w:rPr>
        <w:t xml:space="preserve"> durante </w:t>
      </w:r>
      <w:r w:rsidR="004B2985">
        <w:rPr>
          <w:rFonts w:ascii="Tahoma" w:hAnsi="Tahoma" w:cs="Tahoma"/>
          <w:sz w:val="20"/>
          <w:szCs w:val="20"/>
        </w:rPr>
        <w:t xml:space="preserve">la ejecución contractual derivada de </w:t>
      </w:r>
      <w:r w:rsidR="009B2EE2" w:rsidRPr="004B2985">
        <w:rPr>
          <w:rFonts w:ascii="Tahoma" w:hAnsi="Tahoma" w:cs="Tahoma"/>
          <w:sz w:val="20"/>
          <w:szCs w:val="20"/>
        </w:rPr>
        <w:t>la Licitación Pública Nº 004-2008/CEO/MDC,</w:t>
      </w:r>
      <w:r w:rsidR="009B2EE2">
        <w:rPr>
          <w:rFonts w:ascii="Tahoma" w:hAnsi="Tahoma" w:cs="Tahoma"/>
          <w:sz w:val="20"/>
          <w:szCs w:val="20"/>
        </w:rPr>
        <w:t xml:space="preserve"> efectuada por</w:t>
      </w:r>
      <w:r w:rsidR="009B2EE2" w:rsidRPr="004B2985">
        <w:rPr>
          <w:rFonts w:ascii="Tahoma" w:hAnsi="Tahoma" w:cs="Tahoma"/>
          <w:sz w:val="20"/>
          <w:szCs w:val="20"/>
        </w:rPr>
        <w:t xml:space="preserve"> la Municipalidad Distrital de Carumas</w:t>
      </w:r>
      <w:r w:rsidR="009B2EE2">
        <w:rPr>
          <w:rFonts w:ascii="Tahoma" w:hAnsi="Tahoma" w:cs="Tahoma"/>
          <w:sz w:val="20"/>
          <w:szCs w:val="20"/>
        </w:rPr>
        <w:t>,</w:t>
      </w:r>
      <w:r w:rsidR="009B2EE2" w:rsidRPr="004B2985">
        <w:rPr>
          <w:rFonts w:ascii="Tahoma" w:hAnsi="Tahoma" w:cs="Tahoma"/>
          <w:sz w:val="20"/>
          <w:szCs w:val="20"/>
        </w:rPr>
        <w:t xml:space="preserve"> para la “Construcción de Reservorio y mejoramiento de Canal de Riego San Pedro de Huataraquena de la localidad de Carumas”</w:t>
      </w:r>
      <w:r w:rsidRPr="004B2985">
        <w:rPr>
          <w:rFonts w:ascii="Tahoma" w:hAnsi="Tahoma" w:cs="Tahoma"/>
          <w:sz w:val="20"/>
          <w:szCs w:val="20"/>
        </w:rPr>
        <w:t xml:space="preserve">; y, atendiendo a los siguientes:   </w:t>
      </w:r>
    </w:p>
    <w:p w:rsidR="008B7B9A" w:rsidRPr="004B2985" w:rsidRDefault="008B7B9A" w:rsidP="004B2985">
      <w:pPr>
        <w:spacing w:after="0" w:line="240" w:lineRule="auto"/>
        <w:ind w:right="45"/>
        <w:jc w:val="both"/>
        <w:rPr>
          <w:rFonts w:ascii="Tahoma" w:hAnsi="Tahoma" w:cs="Tahoma"/>
          <w:sz w:val="20"/>
          <w:szCs w:val="20"/>
        </w:rPr>
      </w:pPr>
    </w:p>
    <w:p w:rsidR="008B7B9A" w:rsidRPr="004B2985" w:rsidRDefault="008B7B9A" w:rsidP="004B2985">
      <w:pPr>
        <w:pStyle w:val="Ttulo2"/>
        <w:jc w:val="both"/>
        <w:rPr>
          <w:rFonts w:cs="Tahoma"/>
          <w:sz w:val="20"/>
        </w:rPr>
      </w:pPr>
      <w:r w:rsidRPr="004B2985">
        <w:rPr>
          <w:rFonts w:cs="Tahoma"/>
          <w:sz w:val="20"/>
        </w:rPr>
        <w:t>ANTECEDENTES:</w:t>
      </w:r>
    </w:p>
    <w:p w:rsidR="004B2985" w:rsidRPr="004B2985" w:rsidRDefault="004B2985" w:rsidP="004B2985">
      <w:pPr>
        <w:spacing w:after="0" w:line="240" w:lineRule="auto"/>
        <w:ind w:left="540"/>
        <w:jc w:val="both"/>
        <w:rPr>
          <w:rFonts w:ascii="Tahoma" w:hAnsi="Tahoma" w:cs="Tahoma"/>
          <w:sz w:val="20"/>
          <w:szCs w:val="20"/>
          <w:lang w:val="es-PE"/>
        </w:rPr>
      </w:pPr>
    </w:p>
    <w:p w:rsidR="008B7B9A" w:rsidRPr="004B2985" w:rsidRDefault="008B7B9A" w:rsidP="004B2985">
      <w:pPr>
        <w:numPr>
          <w:ilvl w:val="0"/>
          <w:numId w:val="5"/>
        </w:numPr>
        <w:tabs>
          <w:tab w:val="clear" w:pos="454"/>
        </w:tabs>
        <w:spacing w:after="0" w:line="240" w:lineRule="auto"/>
        <w:ind w:left="540" w:hanging="540"/>
        <w:jc w:val="both"/>
        <w:rPr>
          <w:rFonts w:ascii="Tahoma" w:hAnsi="Tahoma" w:cs="Tahoma"/>
          <w:sz w:val="20"/>
          <w:szCs w:val="20"/>
          <w:lang w:val="es-PE"/>
        </w:rPr>
      </w:pPr>
      <w:r w:rsidRPr="004B2985">
        <w:rPr>
          <w:rFonts w:ascii="Tahoma" w:hAnsi="Tahoma" w:cs="Tahoma"/>
          <w:sz w:val="20"/>
          <w:szCs w:val="20"/>
        </w:rPr>
        <w:t>El 17 de septiembre de 2008, la Municipalidad Distrital de Carumas, en adelante La Entidad, convocó la Licitación Pública Nº 004-2008/CEO/MDC, para la “Construcción de Reservorio y mejoramiento de Canal de Riego San Pedro de Huataraquena de la localidad de Carumas”; por un valor referencial ascendente a S/. 1 602 274.53 (Un millón seiscientos dos mil doscientos setenta y cuatro con 53/100 nuevos soles) incluido los impuestos de Ley.</w:t>
      </w:r>
    </w:p>
    <w:p w:rsidR="004B2985" w:rsidRPr="004B2985" w:rsidRDefault="004B2985" w:rsidP="004B2985">
      <w:pPr>
        <w:spacing w:after="0" w:line="240" w:lineRule="auto"/>
        <w:ind w:left="540"/>
        <w:jc w:val="both"/>
        <w:rPr>
          <w:rFonts w:ascii="Tahoma" w:hAnsi="Tahoma" w:cs="Tahoma"/>
          <w:sz w:val="20"/>
          <w:szCs w:val="20"/>
          <w:lang w:val="es-PE"/>
        </w:rPr>
      </w:pPr>
    </w:p>
    <w:p w:rsidR="008B7B9A" w:rsidRPr="004B2985" w:rsidRDefault="008B7B9A" w:rsidP="004B2985">
      <w:pPr>
        <w:numPr>
          <w:ilvl w:val="0"/>
          <w:numId w:val="5"/>
        </w:numPr>
        <w:tabs>
          <w:tab w:val="clear" w:pos="454"/>
        </w:tabs>
        <w:spacing w:after="0" w:line="240" w:lineRule="auto"/>
        <w:ind w:left="540" w:hanging="540"/>
        <w:jc w:val="both"/>
        <w:rPr>
          <w:rFonts w:ascii="Tahoma" w:hAnsi="Tahoma" w:cs="Tahoma"/>
          <w:sz w:val="20"/>
          <w:szCs w:val="20"/>
          <w:lang w:val="es-PE"/>
        </w:rPr>
      </w:pPr>
      <w:r w:rsidRPr="004B2985">
        <w:rPr>
          <w:rFonts w:ascii="Tahoma" w:hAnsi="Tahoma" w:cs="Tahoma"/>
          <w:sz w:val="20"/>
          <w:szCs w:val="20"/>
        </w:rPr>
        <w:t>El 09 de octubre de 2008, se llevó a cabo el acto de evaluación de propuestas y otorgamiento de la buena pro, donde el Comité Especial otorgó la buena pro a favor de la empresa El Escorial Constructora e Inmobiliaria S.A.C., en adelante El Contratista.</w:t>
      </w:r>
    </w:p>
    <w:p w:rsidR="004B2985" w:rsidRPr="004B2985" w:rsidRDefault="004B2985" w:rsidP="004B2985">
      <w:pPr>
        <w:pStyle w:val="Prrafodelista"/>
        <w:rPr>
          <w:rFonts w:ascii="Tahoma" w:hAnsi="Tahoma" w:cs="Tahoma"/>
          <w:sz w:val="20"/>
          <w:lang w:val="es-PE"/>
        </w:rPr>
      </w:pPr>
    </w:p>
    <w:p w:rsidR="008B7B9A" w:rsidRPr="004B2985" w:rsidRDefault="008B7B9A" w:rsidP="004B2985">
      <w:pPr>
        <w:numPr>
          <w:ilvl w:val="0"/>
          <w:numId w:val="5"/>
        </w:numPr>
        <w:tabs>
          <w:tab w:val="clear" w:pos="454"/>
        </w:tabs>
        <w:spacing w:after="0" w:line="240" w:lineRule="auto"/>
        <w:ind w:left="540" w:hanging="540"/>
        <w:jc w:val="both"/>
        <w:rPr>
          <w:rFonts w:ascii="Tahoma" w:hAnsi="Tahoma" w:cs="Tahoma"/>
          <w:sz w:val="20"/>
          <w:szCs w:val="20"/>
          <w:lang w:val="es-PE"/>
        </w:rPr>
      </w:pPr>
      <w:r w:rsidRPr="004B2985">
        <w:rPr>
          <w:rFonts w:ascii="Tahoma" w:hAnsi="Tahoma" w:cs="Tahoma"/>
          <w:sz w:val="20"/>
          <w:szCs w:val="20"/>
        </w:rPr>
        <w:t>El 11 de noviembre de 2008, La Entidad y El Contratista suscribieron el Contrato Nº 171-2008-A/MDC.</w:t>
      </w:r>
    </w:p>
    <w:p w:rsidR="004B2985" w:rsidRPr="004B2985" w:rsidRDefault="004B2985" w:rsidP="004B2985">
      <w:pPr>
        <w:pStyle w:val="Prrafodelista"/>
        <w:rPr>
          <w:rFonts w:ascii="Tahoma" w:hAnsi="Tahoma" w:cs="Tahoma"/>
          <w:sz w:val="20"/>
          <w:lang w:val="es-PE"/>
        </w:rPr>
      </w:pPr>
    </w:p>
    <w:p w:rsidR="008B7B9A" w:rsidRPr="004B2985" w:rsidRDefault="008B7B9A" w:rsidP="004B2985">
      <w:pPr>
        <w:numPr>
          <w:ilvl w:val="0"/>
          <w:numId w:val="5"/>
        </w:numPr>
        <w:tabs>
          <w:tab w:val="clear" w:pos="454"/>
        </w:tabs>
        <w:spacing w:after="0" w:line="240" w:lineRule="auto"/>
        <w:ind w:left="540" w:hanging="540"/>
        <w:jc w:val="both"/>
        <w:rPr>
          <w:rFonts w:ascii="Tahoma" w:hAnsi="Tahoma" w:cs="Tahoma"/>
          <w:sz w:val="20"/>
          <w:szCs w:val="20"/>
          <w:lang w:val="es-PE"/>
        </w:rPr>
      </w:pPr>
      <w:r w:rsidRPr="004B2985">
        <w:rPr>
          <w:rFonts w:ascii="Tahoma" w:hAnsi="Tahoma" w:cs="Tahoma"/>
          <w:sz w:val="20"/>
          <w:szCs w:val="20"/>
        </w:rPr>
        <w:t>Mediante Carta Notarial de fecha 10 de julio de 2009, diligenciada notarialmente el 14 de julio de 2009, La Entidad solicitó al Contratista cumpla con subsanar el incumplimiento de obligaciones contractuales referidas al retraso injustificado en la ejecución de la obra, así como su abandono, en un plazo perentorio de quince (15) días hábiles.</w:t>
      </w:r>
    </w:p>
    <w:p w:rsidR="004B2985" w:rsidRPr="004B2985" w:rsidRDefault="004B2985" w:rsidP="004B2985">
      <w:pPr>
        <w:pStyle w:val="Prrafodelista"/>
        <w:rPr>
          <w:rFonts w:ascii="Tahoma" w:hAnsi="Tahoma" w:cs="Tahoma"/>
          <w:sz w:val="20"/>
          <w:lang w:val="es-PE"/>
        </w:rPr>
      </w:pPr>
    </w:p>
    <w:p w:rsidR="008B7B9A" w:rsidRPr="004B2985" w:rsidRDefault="008B7B9A" w:rsidP="004B2985">
      <w:pPr>
        <w:numPr>
          <w:ilvl w:val="0"/>
          <w:numId w:val="5"/>
        </w:numPr>
        <w:tabs>
          <w:tab w:val="clear" w:pos="454"/>
        </w:tabs>
        <w:spacing w:after="0" w:line="240" w:lineRule="auto"/>
        <w:ind w:left="540" w:hanging="540"/>
        <w:jc w:val="both"/>
        <w:rPr>
          <w:rFonts w:ascii="Tahoma" w:hAnsi="Tahoma" w:cs="Tahoma"/>
          <w:sz w:val="20"/>
          <w:szCs w:val="20"/>
          <w:lang w:val="es-PE"/>
        </w:rPr>
      </w:pPr>
      <w:r w:rsidRPr="004B2985">
        <w:rPr>
          <w:rFonts w:ascii="Tahoma" w:hAnsi="Tahoma" w:cs="Tahoma"/>
          <w:sz w:val="20"/>
          <w:szCs w:val="20"/>
        </w:rPr>
        <w:t xml:space="preserve">Mediante Informe Nº 262-2009-FPV-SGSC-MDC del 22 de julio de 2009, la Sub gerencia de Supervisión y Control de La Entidad, señaló que se apersonó a la </w:t>
      </w:r>
      <w:r w:rsidRPr="004B2985">
        <w:rPr>
          <w:rFonts w:ascii="Tahoma" w:hAnsi="Tahoma" w:cs="Tahoma"/>
          <w:sz w:val="20"/>
          <w:szCs w:val="20"/>
        </w:rPr>
        <w:lastRenderedPageBreak/>
        <w:t>obra con la finalidad de constatar lo indicado por El Contratista, pudiendo constatar que no se encontraba personal alguno.</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Mediante Carta diligenciada notarialmente el 14 de agosto de 2009, La Entidad comunicó al Contratista la resolución del Contrato de Servicios Nº 171-2008-A/MDC.</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 xml:space="preserve">Mediante Oficio Nº 176-2010-A/MDC presentado el 04 de marzo de 2010, La Entidad puso en conocimiento del Tribunal de Contrataciones del Estado la supuesta infracción cometida por El Contratista. </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widowControl/>
        <w:numPr>
          <w:ilvl w:val="0"/>
          <w:numId w:val="5"/>
        </w:numPr>
        <w:tabs>
          <w:tab w:val="clear" w:pos="454"/>
          <w:tab w:val="left" w:pos="567"/>
        </w:tabs>
        <w:suppressAutoHyphens w:val="0"/>
        <w:ind w:left="567" w:hanging="567"/>
        <w:jc w:val="both"/>
        <w:rPr>
          <w:rFonts w:ascii="Tahoma" w:hAnsi="Tahoma" w:cs="Tahoma"/>
          <w:sz w:val="20"/>
        </w:rPr>
      </w:pPr>
      <w:r w:rsidRPr="004B2985">
        <w:rPr>
          <w:rFonts w:ascii="Tahoma" w:hAnsi="Tahoma" w:cs="Tahoma"/>
          <w:sz w:val="20"/>
        </w:rPr>
        <w:t>Mediante decreto del 05 de abril de 2010, se inició procedimiento administrativo sancionador en contra de El Contratista, por supuesta responsabilidad al haber dado lugar a la resolución del Contrato de Servicios Nº 171-2008-A/MDC.</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Con Resolución Nº 2065-2010-TC-S2 de fecha 29 de octubre de 2010, la Segunda Sala del Tribunal impuso sanción administrativa al Contratista por el periodo de dieciséis (16) meses de inhabilitación temporal para participar en procesos de selección y contratar con el Estado por la comisión de la infracción tipificada</w:t>
      </w:r>
      <w:r w:rsidRPr="004B2985">
        <w:rPr>
          <w:rFonts w:ascii="Tahoma" w:eastAsia="MS Mincho" w:hAnsi="Tahoma" w:cs="Tahoma"/>
          <w:sz w:val="20"/>
        </w:rPr>
        <w:t xml:space="preserve"> en el literal b) del numeral 51.1 del artículo 51º de la Ley de Contrataciones del Estado y el literal b) del numeral 1) del artículo 237º del Reglamento de la Ley de Contrataciones del Estado.</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ind w:left="567"/>
        <w:jc w:val="both"/>
        <w:rPr>
          <w:rFonts w:ascii="Tahoma" w:hAnsi="Tahoma" w:cs="Tahoma"/>
          <w:sz w:val="20"/>
        </w:rPr>
      </w:pPr>
      <w:r w:rsidRPr="004B2985">
        <w:rPr>
          <w:rFonts w:ascii="Tahoma" w:hAnsi="Tahoma" w:cs="Tahoma"/>
          <w:sz w:val="20"/>
        </w:rPr>
        <w:t>En la referida resolución se dispuso abrir procedimiento administrativo sancionador al Contratista por presentar documentación falsa, debido a que la Carta Fianza SM-9-01-10-1-COOPSNMRC/2009 de fecha 02 de abril de 2009, presentada durante la ejecución contractual, ha sido negada por la Cooperativa de Ahorro y Crédito San Marcos del Perú Ltda., que expresamente indicó no haberla emitido.</w:t>
      </w:r>
    </w:p>
    <w:p w:rsidR="008B7B9A" w:rsidRPr="004B2985" w:rsidRDefault="008B7B9A" w:rsidP="004B2985">
      <w:pPr>
        <w:pStyle w:val="Prrafodelista"/>
        <w:ind w:left="567"/>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El 04 de noviembre de 2010, la referida resolución fue remitida a la Mesa de Partes del Tribunal, a efectos de abrir el correspondiente expediente administrativo sancionador.</w:t>
      </w:r>
    </w:p>
    <w:p w:rsidR="008B7B9A" w:rsidRPr="004B2985" w:rsidRDefault="008B7B9A" w:rsidP="004B2985">
      <w:pPr>
        <w:pStyle w:val="Prrafodelista"/>
        <w:ind w:left="567"/>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 xml:space="preserve">Con decreto de fecha 09 de noviembre de 2010, de manera previa al inicio del procedimiento administrativo sancionador, se requirió a la Entidad que </w:t>
      </w:r>
      <w:r w:rsidRPr="004B2985">
        <w:rPr>
          <w:rFonts w:ascii="Tahoma" w:hAnsi="Tahoma" w:cs="Tahoma"/>
          <w:color w:val="000000"/>
          <w:sz w:val="20"/>
        </w:rPr>
        <w:t>remita un Informe Técnico Legal de su asesoría sobre la procedencia y presunta responsabilidad de del Contratista</w:t>
      </w:r>
      <w:r w:rsidRPr="004B2985">
        <w:rPr>
          <w:rFonts w:ascii="Tahoma" w:hAnsi="Tahoma" w:cs="Tahoma"/>
          <w:b/>
          <w:bCs/>
          <w:color w:val="000000"/>
          <w:sz w:val="20"/>
        </w:rPr>
        <w:t xml:space="preserve">, </w:t>
      </w:r>
      <w:r w:rsidRPr="004B2985">
        <w:rPr>
          <w:rFonts w:ascii="Tahoma" w:hAnsi="Tahoma" w:cs="Tahoma"/>
          <w:color w:val="000000"/>
          <w:sz w:val="20"/>
        </w:rPr>
        <w:t>toda vez que habría presentado documentos falsos como parte de su propuesta técnica, en el marco del proceso de selección precitado, debiendo adjuntar documentación que acredite la supuesta falsedad, en mérito a la verificación posterior del documento cuestionado.</w:t>
      </w:r>
    </w:p>
    <w:p w:rsidR="008B7B9A" w:rsidRPr="004B2985" w:rsidRDefault="008B7B9A" w:rsidP="004B2985">
      <w:pPr>
        <w:pStyle w:val="Prrafodelista"/>
        <w:jc w:val="both"/>
        <w:rPr>
          <w:rFonts w:ascii="Tahoma" w:hAnsi="Tahoma" w:cs="Tahoma"/>
          <w:sz w:val="20"/>
        </w:rPr>
      </w:pPr>
    </w:p>
    <w:p w:rsidR="008B7B9A" w:rsidRPr="004B2985" w:rsidRDefault="008B7B9A" w:rsidP="004B2985">
      <w:pPr>
        <w:pStyle w:val="Prrafodelista"/>
        <w:widowControl/>
        <w:numPr>
          <w:ilvl w:val="0"/>
          <w:numId w:val="5"/>
        </w:numPr>
        <w:tabs>
          <w:tab w:val="clear" w:pos="454"/>
        </w:tabs>
        <w:suppressAutoHyphens w:val="0"/>
        <w:ind w:left="567" w:hanging="567"/>
        <w:jc w:val="both"/>
        <w:rPr>
          <w:rFonts w:ascii="Tahoma" w:hAnsi="Tahoma" w:cs="Tahoma"/>
          <w:sz w:val="20"/>
        </w:rPr>
      </w:pPr>
      <w:r w:rsidRPr="004B2985">
        <w:rPr>
          <w:rFonts w:ascii="Tahoma" w:hAnsi="Tahoma" w:cs="Tahoma"/>
          <w:sz w:val="20"/>
        </w:rPr>
        <w:t xml:space="preserve">Con decreto de fecha 24 de enero de 2011, se dispuso iniciar procedimiento administrativo sancionador contra </w:t>
      </w:r>
      <w:r w:rsidRPr="004B2985">
        <w:rPr>
          <w:rFonts w:ascii="Tahoma" w:hAnsi="Tahoma" w:cs="Tahoma"/>
          <w:color w:val="000000"/>
          <w:sz w:val="20"/>
        </w:rPr>
        <w:t>el Contratista</w:t>
      </w:r>
      <w:r w:rsidRPr="004B2985">
        <w:rPr>
          <w:rFonts w:ascii="Tahoma" w:hAnsi="Tahoma" w:cs="Tahoma"/>
          <w:b/>
          <w:bCs/>
          <w:color w:val="000000"/>
          <w:sz w:val="20"/>
        </w:rPr>
        <w:t xml:space="preserve">, </w:t>
      </w:r>
      <w:r w:rsidRPr="004B2985">
        <w:rPr>
          <w:rFonts w:ascii="Tahoma" w:hAnsi="Tahoma" w:cs="Tahoma"/>
          <w:sz w:val="20"/>
        </w:rPr>
        <w:t xml:space="preserve">por su presunta responsabilidad en presentar la Carta Fianza SM-9-01-10-1-COOPSNMRC/2009, expedida por la Cooperativa de ahorro y crédito San Marcos del Perú Ltda., documento supuestamente falso o inexacto,  </w:t>
      </w:r>
      <w:r w:rsidRPr="004B2985">
        <w:rPr>
          <w:rFonts w:ascii="Tahoma" w:hAnsi="Tahoma" w:cs="Tahoma"/>
          <w:color w:val="000000"/>
          <w:sz w:val="20"/>
        </w:rPr>
        <w:t xml:space="preserve">bajo el marco del proceso de selección de </w:t>
      </w:r>
      <w:r w:rsidRPr="004B2985">
        <w:rPr>
          <w:rFonts w:ascii="Tahoma" w:hAnsi="Tahoma" w:cs="Tahoma"/>
          <w:b/>
          <w:bCs/>
          <w:color w:val="000000"/>
          <w:sz w:val="20"/>
        </w:rPr>
        <w:t>Licitación Pública Nº 004-2008/CEO/MDC</w:t>
      </w:r>
      <w:r w:rsidRPr="004B2985">
        <w:rPr>
          <w:rFonts w:ascii="Tahoma" w:hAnsi="Tahoma" w:cs="Tahoma"/>
          <w:color w:val="000000"/>
          <w:sz w:val="20"/>
        </w:rPr>
        <w:t>. Asimismo, se dejo sin efecto el requerimiento realizado con decreto de fecha 09 de noviembre de 2010.</w:t>
      </w:r>
    </w:p>
    <w:p w:rsidR="008B7B9A" w:rsidRPr="004B2985" w:rsidRDefault="008B7B9A" w:rsidP="004B2985">
      <w:pPr>
        <w:pStyle w:val="Prrafodelista"/>
        <w:jc w:val="both"/>
        <w:rPr>
          <w:rFonts w:ascii="Tahoma" w:hAnsi="Tahoma" w:cs="Tahoma"/>
          <w:color w:val="000000"/>
          <w:sz w:val="20"/>
        </w:rPr>
      </w:pPr>
    </w:p>
    <w:p w:rsidR="008B7B9A" w:rsidRPr="004B2985" w:rsidRDefault="008B7B9A" w:rsidP="004B2985">
      <w:pPr>
        <w:pStyle w:val="Prrafodelista"/>
        <w:ind w:left="567"/>
        <w:jc w:val="both"/>
        <w:rPr>
          <w:rFonts w:ascii="Tahoma" w:hAnsi="Tahoma" w:cs="Tahoma"/>
          <w:sz w:val="20"/>
        </w:rPr>
      </w:pPr>
      <w:r w:rsidRPr="004B2985">
        <w:rPr>
          <w:rFonts w:ascii="Tahoma" w:hAnsi="Tahoma" w:cs="Tahoma"/>
          <w:color w:val="000000"/>
          <w:sz w:val="20"/>
        </w:rPr>
        <w:lastRenderedPageBreak/>
        <w:t xml:space="preserve">Finalmente, se le otorgó al Contratista el plazo de </w:t>
      </w:r>
      <w:r w:rsidRPr="004B2985">
        <w:rPr>
          <w:rFonts w:ascii="Tahoma" w:hAnsi="Tahoma" w:cs="Tahoma"/>
          <w:b/>
          <w:bCs/>
          <w:color w:val="000000"/>
          <w:sz w:val="20"/>
        </w:rPr>
        <w:t>diez (10) días hábiles  a fin de que cumpla con presentar sus descargos</w:t>
      </w:r>
      <w:r w:rsidRPr="004B2985">
        <w:rPr>
          <w:rFonts w:ascii="Tahoma" w:hAnsi="Tahoma" w:cs="Tahoma"/>
          <w:color w:val="000000"/>
          <w:sz w:val="20"/>
        </w:rPr>
        <w:t>, bajo apercibimiento de resolver el procedimiento con la documentación obrante en el expediente.</w:t>
      </w:r>
    </w:p>
    <w:p w:rsidR="008B7B9A" w:rsidRPr="004B2985" w:rsidRDefault="008B7B9A" w:rsidP="004B2985">
      <w:pPr>
        <w:pStyle w:val="Prrafodelista"/>
        <w:jc w:val="both"/>
        <w:rPr>
          <w:rFonts w:ascii="Tahoma" w:hAnsi="Tahoma" w:cs="Tahoma"/>
          <w:sz w:val="20"/>
        </w:rPr>
      </w:pPr>
    </w:p>
    <w:p w:rsidR="008B7B9A" w:rsidRPr="001868BD" w:rsidRDefault="008B7B9A" w:rsidP="004B2985">
      <w:pPr>
        <w:pStyle w:val="Prrafodelista"/>
        <w:widowControl/>
        <w:numPr>
          <w:ilvl w:val="0"/>
          <w:numId w:val="5"/>
        </w:numPr>
        <w:tabs>
          <w:tab w:val="clear" w:pos="454"/>
        </w:tabs>
        <w:suppressAutoHyphens w:val="0"/>
        <w:ind w:left="567" w:hanging="567"/>
        <w:jc w:val="both"/>
        <w:rPr>
          <w:rFonts w:ascii="Tahoma" w:hAnsi="Tahoma" w:cs="Tahoma"/>
          <w:b/>
          <w:bCs/>
          <w:sz w:val="20"/>
        </w:rPr>
      </w:pPr>
      <w:r w:rsidRPr="004B2985">
        <w:rPr>
          <w:rFonts w:ascii="Tahoma" w:hAnsi="Tahoma" w:cs="Tahoma"/>
          <w:sz w:val="20"/>
        </w:rPr>
        <w:t>Con decreto de fecha 04 de abril de 2011, no habiendo cumplido el contratista con presentar sus descargos, se hizo efectivo el apercibimiento de resolver con la documentación obrante en autos, y se dispuso remitir el expediente a la Primera Sala del Tribunal para que emita pronunciamiento.</w:t>
      </w:r>
    </w:p>
    <w:p w:rsidR="001868BD" w:rsidRPr="004B2985" w:rsidRDefault="001868BD" w:rsidP="001868BD">
      <w:pPr>
        <w:pStyle w:val="Prrafodelista"/>
        <w:widowControl/>
        <w:suppressAutoHyphens w:val="0"/>
        <w:ind w:left="567"/>
        <w:jc w:val="both"/>
        <w:rPr>
          <w:rFonts w:ascii="Tahoma" w:hAnsi="Tahoma" w:cs="Tahoma"/>
          <w:b/>
          <w:bCs/>
          <w:sz w:val="20"/>
        </w:rPr>
      </w:pPr>
    </w:p>
    <w:p w:rsidR="008B7B9A" w:rsidRPr="004B2985" w:rsidRDefault="008B7B9A" w:rsidP="004B2985">
      <w:pPr>
        <w:tabs>
          <w:tab w:val="num" w:pos="9720"/>
        </w:tabs>
        <w:spacing w:after="0" w:line="240" w:lineRule="auto"/>
        <w:jc w:val="both"/>
        <w:rPr>
          <w:rFonts w:ascii="Tahoma" w:hAnsi="Tahoma" w:cs="Tahoma"/>
          <w:b/>
          <w:sz w:val="20"/>
          <w:szCs w:val="20"/>
        </w:rPr>
      </w:pPr>
      <w:r w:rsidRPr="004B2985">
        <w:rPr>
          <w:rFonts w:ascii="Tahoma" w:hAnsi="Tahoma" w:cs="Tahoma"/>
          <w:b/>
          <w:sz w:val="20"/>
          <w:szCs w:val="20"/>
        </w:rPr>
        <w:t>FUNDAMENTACIÓN:</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El presente procedimiento sancionador ha sido iniciado para determinar si la empresa </w:t>
      </w:r>
      <w:r w:rsidRPr="004B2985">
        <w:rPr>
          <w:rFonts w:ascii="Tahoma" w:hAnsi="Tahoma" w:cs="Tahoma"/>
          <w:b/>
          <w:bCs/>
          <w:color w:val="000000"/>
          <w:sz w:val="20"/>
          <w:szCs w:val="20"/>
          <w:lang w:eastAsia="es-ES"/>
        </w:rPr>
        <w:t>EL ESCORIAL CONSTRUCTORA E INMOBILIARIA S.A.C.</w:t>
      </w:r>
      <w:r w:rsidRPr="004B2985">
        <w:rPr>
          <w:rFonts w:ascii="Tahoma" w:hAnsi="Tahoma" w:cs="Tahoma"/>
          <w:sz w:val="20"/>
          <w:szCs w:val="20"/>
        </w:rPr>
        <w:t xml:space="preserve"> ha incurrido en responsabilidad administrativa por la supuesta presentación de documentos falsos o inexactos durante la Licitación Pública Nº 004-2008/CEO/MDC; infracción tipificada en el literal i) del numeral 51.1 del artículo 51 de la Ley de Contrataciones del Estado</w:t>
      </w:r>
      <w:r w:rsidRPr="004B2985">
        <w:rPr>
          <w:rFonts w:ascii="Tahoma" w:hAnsi="Tahoma" w:cs="Tahoma"/>
          <w:sz w:val="20"/>
          <w:szCs w:val="20"/>
          <w:vertAlign w:val="superscript"/>
        </w:rPr>
        <w:footnoteReference w:id="2"/>
      </w:r>
      <w:r w:rsidRPr="004B2985">
        <w:rPr>
          <w:rFonts w:ascii="Tahoma" w:hAnsi="Tahoma" w:cs="Tahoma"/>
          <w:sz w:val="20"/>
          <w:szCs w:val="20"/>
        </w:rPr>
        <w:t>, en adelante la Ley, concordante con el literal i) del numeral 1 del artículo 237 de su Reglamento</w:t>
      </w:r>
      <w:r w:rsidRPr="004B2985">
        <w:rPr>
          <w:rFonts w:ascii="Tahoma" w:hAnsi="Tahoma" w:cs="Tahoma"/>
          <w:sz w:val="20"/>
          <w:szCs w:val="20"/>
          <w:vertAlign w:val="superscript"/>
        </w:rPr>
        <w:footnoteReference w:id="3"/>
      </w:r>
      <w:r w:rsidRPr="004B2985">
        <w:rPr>
          <w:rFonts w:ascii="Tahoma" w:hAnsi="Tahoma" w:cs="Tahoma"/>
          <w:sz w:val="20"/>
          <w:szCs w:val="20"/>
        </w:rPr>
        <w:t>, normas vigentes al suscitarse los hechos, toda vez que el documento cuestionado, Carta Fianza</w:t>
      </w:r>
      <w:r w:rsidRPr="004B2985">
        <w:rPr>
          <w:rFonts w:ascii="Tahoma" w:hAnsi="Tahoma" w:cs="Tahoma"/>
          <w:sz w:val="20"/>
          <w:szCs w:val="20"/>
          <w:lang w:eastAsia="es-ES"/>
        </w:rPr>
        <w:t xml:space="preserve"> SM-9-01-10-1-COOPSNMRC/2009 ha sido emitida el 02 de abril de 2009 y fue presentada como renovación de la Carta Fianza Nº E1598-01-2008, durante la vigencia de la presente norma.</w:t>
      </w:r>
    </w:p>
    <w:p w:rsidR="004B2985" w:rsidRPr="004B2985" w:rsidRDefault="004B2985" w:rsidP="004B2985">
      <w:pPr>
        <w:spacing w:line="240" w:lineRule="auto"/>
        <w:ind w:left="720"/>
        <w:jc w:val="both"/>
        <w:rPr>
          <w:rFonts w:ascii="Tahoma" w:hAnsi="Tahoma" w:cs="Tahoma"/>
          <w:b/>
          <w:bCs/>
          <w:i/>
          <w:iCs/>
          <w:sz w:val="20"/>
          <w:szCs w:val="20"/>
        </w:rPr>
      </w:pPr>
    </w:p>
    <w:p w:rsidR="008B7B9A" w:rsidRPr="004B2985" w:rsidRDefault="008B7B9A" w:rsidP="004B2985">
      <w:pPr>
        <w:spacing w:line="240" w:lineRule="auto"/>
        <w:ind w:left="720"/>
        <w:jc w:val="both"/>
        <w:rPr>
          <w:rFonts w:ascii="Tahoma" w:hAnsi="Tahoma" w:cs="Tahoma"/>
          <w:b/>
          <w:bCs/>
          <w:i/>
          <w:iCs/>
          <w:sz w:val="20"/>
          <w:szCs w:val="20"/>
        </w:rPr>
      </w:pPr>
      <w:r w:rsidRPr="004B2985">
        <w:rPr>
          <w:rFonts w:ascii="Tahoma" w:hAnsi="Tahoma" w:cs="Tahoma"/>
          <w:b/>
          <w:bCs/>
          <w:i/>
          <w:iCs/>
          <w:sz w:val="20"/>
          <w:szCs w:val="20"/>
        </w:rPr>
        <w:t>Respecto a la eventual responsabilidad del Contratista por la presentación de documentos falsos o inexactos</w:t>
      </w: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4B2985">
        <w:rPr>
          <w:rStyle w:val="Refdenotaalpie"/>
          <w:rFonts w:ascii="Tahoma" w:hAnsi="Tahoma" w:cs="Tahoma"/>
          <w:sz w:val="20"/>
          <w:szCs w:val="20"/>
        </w:rPr>
        <w:footnoteReference w:id="4"/>
      </w:r>
      <w:r w:rsidRPr="004B2985">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w:t>
      </w:r>
      <w:r w:rsidRPr="004B2985">
        <w:rPr>
          <w:rFonts w:ascii="Tahoma" w:hAnsi="Tahoma" w:cs="Tahoma"/>
          <w:sz w:val="20"/>
          <w:szCs w:val="20"/>
        </w:rPr>
        <w:lastRenderedPageBreak/>
        <w:t>dispositivo, el derecho de verificar posteriormente la veracidad y autenticidad de los mismos.</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Asimismo, </w:t>
      </w:r>
      <w:r w:rsidRPr="004B2985">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4B2985">
        <w:rPr>
          <w:rFonts w:ascii="Tahoma" w:hAnsi="Tahoma" w:cs="Tahoma"/>
          <w:b/>
          <w:bCs/>
          <w:sz w:val="20"/>
          <w:szCs w:val="20"/>
          <w:lang w:val="es-MX"/>
        </w:rPr>
        <w:t>se presumen verificados por quien hace uso de ellos, así como de contenido veraz para fines del procedimiento administrativo</w:t>
      </w:r>
      <w:r w:rsidRPr="004B2985">
        <w:rPr>
          <w:rFonts w:ascii="Tahoma" w:hAnsi="Tahoma" w:cs="Tahoma"/>
          <w:sz w:val="20"/>
          <w:szCs w:val="20"/>
          <w:lang w:val="es-MX"/>
        </w:rPr>
        <w:t xml:space="preserve">. Sin embargo, esta presunción es de índole </w:t>
      </w:r>
      <w:r w:rsidRPr="004B2985">
        <w:rPr>
          <w:rFonts w:ascii="Tahoma" w:hAnsi="Tahoma" w:cs="Tahoma"/>
          <w:i/>
          <w:iCs/>
          <w:sz w:val="20"/>
          <w:szCs w:val="20"/>
          <w:lang w:val="es-MX"/>
        </w:rPr>
        <w:t>juris tantum</w:t>
      </w:r>
      <w:r w:rsidRPr="004B2985">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En línea con lo anterior, el literal c) del numeral 1 del artículo 42 del Reglamento establece que los postores y/o contratistas </w:t>
      </w:r>
      <w:r w:rsidRPr="004B2985">
        <w:rPr>
          <w:rFonts w:ascii="Tahoma" w:hAnsi="Tahoma" w:cs="Tahoma"/>
          <w:b/>
          <w:bCs/>
          <w:sz w:val="20"/>
          <w:szCs w:val="20"/>
        </w:rPr>
        <w:t>son responsables de la veracidad de los documentos e información que presentan para efectos de un proceso de selección determinado</w:t>
      </w:r>
      <w:r w:rsidRPr="004B2985">
        <w:rPr>
          <w:rFonts w:ascii="Tahoma" w:hAnsi="Tahoma" w:cs="Tahoma"/>
          <w:sz w:val="20"/>
          <w:szCs w:val="20"/>
        </w:rPr>
        <w:t>.</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8B7B9A" w:rsidRPr="004B2985" w:rsidRDefault="008B7B9A" w:rsidP="004B2985">
      <w:pPr>
        <w:pStyle w:val="Prrafodelista"/>
        <w:jc w:val="both"/>
        <w:rPr>
          <w:rFonts w:ascii="Tahoma" w:hAnsi="Tahoma" w:cs="Tahoma"/>
          <w:sz w:val="20"/>
          <w:lang w:val="es-PE"/>
        </w:rPr>
      </w:pPr>
    </w:p>
    <w:p w:rsidR="008B7B9A" w:rsidRPr="004B2985" w:rsidRDefault="008B7B9A" w:rsidP="004B2985">
      <w:pPr>
        <w:spacing w:line="240" w:lineRule="auto"/>
        <w:ind w:left="720"/>
        <w:jc w:val="both"/>
        <w:rPr>
          <w:rFonts w:ascii="Tahoma" w:hAnsi="Tahoma" w:cs="Tahoma"/>
          <w:i/>
          <w:iCs/>
          <w:sz w:val="20"/>
          <w:szCs w:val="20"/>
          <w:lang w:val="es-PE"/>
        </w:rPr>
      </w:pPr>
      <w:r w:rsidRPr="004B2985">
        <w:rPr>
          <w:rFonts w:ascii="Tahoma" w:hAnsi="Tahoma" w:cs="Tahoma"/>
          <w:sz w:val="20"/>
          <w:szCs w:val="20"/>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4B2985">
        <w:rPr>
          <w:rFonts w:ascii="Tahoma" w:hAnsi="Tahoma" w:cs="Tahoma"/>
          <w:i/>
          <w:iCs/>
          <w:sz w:val="20"/>
          <w:szCs w:val="20"/>
          <w:lang w:val="es-PE"/>
        </w:rPr>
        <w:t>Principios de Moralidad</w:t>
      </w:r>
      <w:r w:rsidRPr="004B2985">
        <w:rPr>
          <w:rFonts w:ascii="Tahoma" w:hAnsi="Tahoma" w:cs="Tahoma"/>
          <w:sz w:val="20"/>
          <w:szCs w:val="20"/>
          <w:lang w:val="es-PE"/>
        </w:rPr>
        <w:t xml:space="preserve"> y de </w:t>
      </w:r>
      <w:r w:rsidRPr="004B2985">
        <w:rPr>
          <w:rFonts w:ascii="Tahoma" w:hAnsi="Tahoma" w:cs="Tahoma"/>
          <w:i/>
          <w:iCs/>
          <w:sz w:val="20"/>
          <w:szCs w:val="20"/>
          <w:lang w:val="es-PE"/>
        </w:rPr>
        <w:t>Presunción de Veracidad.</w:t>
      </w:r>
    </w:p>
    <w:p w:rsidR="004B2985"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En el caso materia de análisis, la Entidad ha señalado que la</w:t>
      </w:r>
      <w:r w:rsidRPr="004B2985">
        <w:rPr>
          <w:rFonts w:ascii="Tahoma" w:hAnsi="Tahoma" w:cs="Tahoma"/>
          <w:sz w:val="20"/>
          <w:szCs w:val="20"/>
          <w:lang w:val="es-ES_tradnl"/>
        </w:rPr>
        <w:t xml:space="preserve"> </w:t>
      </w:r>
      <w:r w:rsidRPr="004B2985">
        <w:rPr>
          <w:rFonts w:ascii="Tahoma" w:hAnsi="Tahoma" w:cs="Tahoma"/>
          <w:sz w:val="20"/>
          <w:szCs w:val="20"/>
        </w:rPr>
        <w:t>Carta Fianza SM-9-01-10-1-COOPSNMRC/2009 de fecha 02 de abril de 2009</w:t>
      </w:r>
      <w:r w:rsidRPr="004B2985">
        <w:rPr>
          <w:rStyle w:val="Refdenotaalpie"/>
          <w:rFonts w:ascii="Tahoma" w:hAnsi="Tahoma" w:cs="Tahoma"/>
          <w:sz w:val="20"/>
          <w:szCs w:val="20"/>
        </w:rPr>
        <w:footnoteReference w:id="5"/>
      </w:r>
      <w:r w:rsidRPr="004B2985">
        <w:rPr>
          <w:rFonts w:ascii="Tahoma" w:hAnsi="Tahoma" w:cs="Tahoma"/>
          <w:sz w:val="20"/>
          <w:szCs w:val="20"/>
        </w:rPr>
        <w:t>, sería falsa.</w:t>
      </w:r>
    </w:p>
    <w:p w:rsidR="004B2985" w:rsidRPr="004B2985" w:rsidRDefault="004B2985" w:rsidP="004B2985">
      <w:pPr>
        <w:spacing w:after="0" w:line="240" w:lineRule="auto"/>
        <w:ind w:left="720"/>
        <w:jc w:val="both"/>
        <w:rPr>
          <w:rFonts w:ascii="Tahoma" w:hAnsi="Tahoma" w:cs="Tahoma"/>
          <w:sz w:val="20"/>
          <w:szCs w:val="20"/>
        </w:rPr>
      </w:pPr>
    </w:p>
    <w:p w:rsidR="004B2985" w:rsidRPr="004B2985" w:rsidRDefault="008B7B9A" w:rsidP="004B2985">
      <w:pPr>
        <w:spacing w:after="0" w:line="240" w:lineRule="auto"/>
        <w:ind w:left="720"/>
        <w:jc w:val="both"/>
        <w:rPr>
          <w:rFonts w:ascii="Tahoma" w:hAnsi="Tahoma" w:cs="Tahoma"/>
          <w:sz w:val="20"/>
          <w:szCs w:val="20"/>
        </w:rPr>
      </w:pPr>
      <w:r w:rsidRPr="004B2985">
        <w:rPr>
          <w:rFonts w:ascii="Tahoma" w:hAnsi="Tahoma" w:cs="Tahoma"/>
          <w:sz w:val="20"/>
          <w:szCs w:val="20"/>
        </w:rPr>
        <w:t>Al respecto, debe indicarse que la referida Carta Fianza fue presentada por el Contratista para garantizar los adelantos para materiales e insumos, de conformidad a lo establecido en la Cláusula segunda del Contrato Nº 171-suscrito el 11 de noviembre de 2008.</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spacing w:after="0" w:line="240" w:lineRule="auto"/>
        <w:ind w:left="720"/>
        <w:jc w:val="both"/>
        <w:rPr>
          <w:rFonts w:ascii="Tahoma" w:hAnsi="Tahoma" w:cs="Tahoma"/>
          <w:sz w:val="20"/>
          <w:szCs w:val="20"/>
        </w:rPr>
      </w:pPr>
      <w:r w:rsidRPr="004B2985">
        <w:rPr>
          <w:rFonts w:ascii="Tahoma" w:hAnsi="Tahoma" w:cs="Tahoma"/>
          <w:sz w:val="20"/>
          <w:szCs w:val="20"/>
        </w:rPr>
        <w:t xml:space="preserve">La cuestionada garantía habría sido emitida por la Cooperativa de Ahorro y Crédito San Marcos del Perú S.R.Ltda. por un monto ascendente a </w:t>
      </w:r>
      <w:r w:rsidRPr="004B2985">
        <w:rPr>
          <w:rFonts w:ascii="Tahoma" w:hAnsi="Tahoma" w:cs="Tahoma"/>
          <w:sz w:val="20"/>
          <w:szCs w:val="20"/>
        </w:rPr>
        <w:br/>
        <w:t>S/. 221,000.00 Nuevos Soles, con una vigencia desde el 02 de abril hasta el 01 de julio de 2009.</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lastRenderedPageBreak/>
        <w:t>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w:t>
      </w:r>
    </w:p>
    <w:p w:rsidR="008B7B9A" w:rsidRPr="004B2985" w:rsidRDefault="008B7B9A" w:rsidP="004B2985">
      <w:pPr>
        <w:spacing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A fin de dilucidar este asunto, en virtud al </w:t>
      </w:r>
      <w:r w:rsidRPr="004B2985">
        <w:rPr>
          <w:rFonts w:ascii="Tahoma" w:hAnsi="Tahoma" w:cs="Tahoma"/>
          <w:i/>
          <w:iCs/>
          <w:sz w:val="20"/>
          <w:szCs w:val="20"/>
        </w:rPr>
        <w:t xml:space="preserve">Principio de Privilegio de Controles Posteriores, </w:t>
      </w:r>
      <w:r w:rsidRPr="004B2985">
        <w:rPr>
          <w:rFonts w:ascii="Tahoma" w:hAnsi="Tahoma" w:cs="Tahoma"/>
          <w:sz w:val="20"/>
          <w:szCs w:val="20"/>
        </w:rPr>
        <w:t>contemplado en el numeral 1.16 del Artículo IV del Título Preliminar de la Ley N.° 27444</w:t>
      </w:r>
      <w:r w:rsidRPr="004B2985">
        <w:rPr>
          <w:rStyle w:val="Refdenotaalpie"/>
          <w:rFonts w:ascii="Tahoma" w:hAnsi="Tahoma" w:cs="Tahoma"/>
          <w:sz w:val="20"/>
          <w:szCs w:val="20"/>
        </w:rPr>
        <w:footnoteReference w:id="6"/>
      </w:r>
      <w:r w:rsidRPr="004B2985">
        <w:rPr>
          <w:rFonts w:ascii="Tahoma" w:hAnsi="Tahoma" w:cs="Tahoma"/>
          <w:sz w:val="20"/>
          <w:szCs w:val="20"/>
        </w:rPr>
        <w:t>,  la Entidad solicitó a la Cooperativa de Ahorro y Crédito San Marcos del Perú S.R.L,  brinde su conformidad a la Carta Fianza SM-9-01-10-1-COOPSNMRC/2009.</w:t>
      </w:r>
    </w:p>
    <w:p w:rsidR="008B7B9A" w:rsidRPr="004B2985" w:rsidRDefault="008B7B9A" w:rsidP="004B2985">
      <w:pPr>
        <w:pStyle w:val="Prrafodelista"/>
        <w:jc w:val="both"/>
        <w:rPr>
          <w:rFonts w:ascii="Tahoma" w:hAnsi="Tahoma" w:cs="Tahoma"/>
          <w:sz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En atención a la solicitud realizada por la Entidad, con Carta Notarial de fecha 20 de  julio de 2009, la Cooperativa de Ahorro y Crédito San Marcos del Perú S.R.L</w:t>
      </w:r>
      <w:r w:rsidRPr="004B2985">
        <w:rPr>
          <w:rFonts w:ascii="Tahoma" w:hAnsi="Tahoma" w:cs="Tahoma"/>
          <w:i/>
          <w:iCs/>
          <w:sz w:val="20"/>
          <w:szCs w:val="20"/>
        </w:rPr>
        <w:t xml:space="preserve"> manifestó lo siguiente: “(…) La empresa </w:t>
      </w:r>
      <w:r w:rsidRPr="004B2985">
        <w:rPr>
          <w:rFonts w:ascii="Tahoma" w:hAnsi="Tahoma" w:cs="Tahoma"/>
          <w:i/>
          <w:iCs/>
          <w:color w:val="000000"/>
          <w:sz w:val="20"/>
          <w:szCs w:val="20"/>
          <w:lang w:eastAsia="es-ES"/>
        </w:rPr>
        <w:t>EL ESCORIAL CONSTRUCTORA E INMOBILIARIA S.A.C. no figura en nuestro registro de socios, ni asociados, ni tiene inscrito representante legal alguno. Nuestra institución no ha emitido por tanto a dicha empresa ninguna carta fianza, la cual se hace referencia en la carta remitida. La Carta Fianza Nº SM-9-01-1091-COOPSNMR c/2009, ES FALSA, no figurando en nuestros registros como emitida a favor de esta empresa. Nuestra empresa tiene otro tipo de numeración y registro.</w:t>
      </w:r>
      <w:r w:rsidRPr="004B2985">
        <w:rPr>
          <w:rFonts w:ascii="Tahoma" w:hAnsi="Tahoma" w:cs="Tahoma"/>
          <w:i/>
          <w:iCs/>
          <w:sz w:val="20"/>
          <w:szCs w:val="20"/>
        </w:rPr>
        <w:t>”</w:t>
      </w:r>
    </w:p>
    <w:p w:rsidR="008B7B9A" w:rsidRPr="004B2985" w:rsidRDefault="008B7B9A" w:rsidP="004B2985">
      <w:pPr>
        <w:pStyle w:val="Prrafodelista"/>
        <w:jc w:val="both"/>
        <w:rPr>
          <w:rFonts w:ascii="Tahoma" w:hAnsi="Tahoma" w:cs="Tahoma"/>
          <w:sz w:val="20"/>
        </w:rPr>
      </w:pPr>
    </w:p>
    <w:p w:rsidR="004B2985"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Conforme a lo expuesto, ha quedado acreditado que el documento materia de denuncia es falso, toda vez que el supuesto emisor ha desconocido expresamente haber elaborado la referida garantía a nombre del Contratista, razón por la cual se configura la causal tipificada como sancionable.</w:t>
      </w:r>
    </w:p>
    <w:p w:rsidR="004B2985" w:rsidRPr="004B2985" w:rsidRDefault="004B2985" w:rsidP="004B2985">
      <w:pPr>
        <w:pStyle w:val="Prrafodelista"/>
        <w:rPr>
          <w:rFonts w:ascii="Tahoma" w:hAnsi="Tahoma" w:cs="Tahoma"/>
          <w:sz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Por ende, considerando que el Contratista, no ha efectuado descargo alguno durante la tramitación del presente procedimiento administrativo sancionador, no obstante haber sido debidamente notificado mediante Cédula de Notificación Nº 6540/2011.TC el 15.03.2011, este Tribunal concluye que corresponde imponerle sanción administrativa por los hechos denunciados.</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En consecuencia, la conducta del Contratista supone una trasgresión del </w:t>
      </w:r>
      <w:r w:rsidRPr="004B2985">
        <w:rPr>
          <w:rFonts w:ascii="Tahoma" w:hAnsi="Tahoma" w:cs="Tahoma"/>
          <w:i/>
          <w:iCs/>
          <w:sz w:val="20"/>
          <w:szCs w:val="20"/>
        </w:rPr>
        <w:t>principio de presunción de veracidad</w:t>
      </w:r>
      <w:r w:rsidRPr="004B2985">
        <w:rPr>
          <w:rFonts w:ascii="Tahoma" w:hAnsi="Tahoma" w:cs="Tahoma"/>
          <w:sz w:val="20"/>
          <w:szCs w:val="20"/>
        </w:rPr>
        <w:t>,  en vista que, si bien a través de dicho principio la Administración Pública se encuentra en el deber de presumir como veraces los documentos presentados por el administrado, esta situación ha quedado desvirtuada desde el momento en que se ha verificado que el documento cuestionado es falso.</w:t>
      </w:r>
    </w:p>
    <w:p w:rsidR="004B2985" w:rsidRPr="004B2985" w:rsidRDefault="004B2985" w:rsidP="004B2985">
      <w:pPr>
        <w:spacing w:after="0" w:line="240" w:lineRule="auto"/>
        <w:ind w:left="720"/>
        <w:jc w:val="both"/>
        <w:rPr>
          <w:rFonts w:ascii="Tahoma" w:hAnsi="Tahoma" w:cs="Tahoma"/>
          <w:b/>
          <w:bCs/>
          <w:sz w:val="20"/>
          <w:szCs w:val="20"/>
        </w:rPr>
      </w:pPr>
    </w:p>
    <w:p w:rsidR="008B7B9A" w:rsidRPr="004B2985" w:rsidRDefault="008B7B9A" w:rsidP="004B2985">
      <w:pPr>
        <w:numPr>
          <w:ilvl w:val="0"/>
          <w:numId w:val="6"/>
        </w:numPr>
        <w:spacing w:after="0" w:line="240" w:lineRule="auto"/>
        <w:jc w:val="both"/>
        <w:rPr>
          <w:rFonts w:ascii="Tahoma" w:hAnsi="Tahoma" w:cs="Tahoma"/>
          <w:b/>
          <w:bCs/>
          <w:sz w:val="20"/>
          <w:szCs w:val="20"/>
        </w:rPr>
      </w:pPr>
      <w:r w:rsidRPr="004B2985">
        <w:rPr>
          <w:rFonts w:ascii="Tahoma" w:hAnsi="Tahoma" w:cs="Tahoma"/>
          <w:sz w:val="20"/>
          <w:szCs w:val="20"/>
        </w:rPr>
        <w:t xml:space="preserve">En ese orden de ideas, al haber presentado documentación falsa e inexacta, el Contratista ha contravenido el </w:t>
      </w:r>
      <w:r w:rsidRPr="004B2985">
        <w:rPr>
          <w:rFonts w:ascii="Tahoma" w:hAnsi="Tahoma" w:cs="Tahoma"/>
          <w:i/>
          <w:iCs/>
          <w:sz w:val="20"/>
          <w:szCs w:val="20"/>
        </w:rPr>
        <w:t>Principio de Moralidad</w:t>
      </w:r>
      <w:r w:rsidRPr="004B2985">
        <w:rPr>
          <w:rFonts w:ascii="Tahoma" w:hAnsi="Tahoma" w:cs="Tahoma"/>
          <w:sz w:val="20"/>
          <w:szCs w:val="20"/>
        </w:rPr>
        <w:t xml:space="preserve"> que rige la contratación </w:t>
      </w:r>
      <w:r w:rsidRPr="004B2985">
        <w:rPr>
          <w:rFonts w:ascii="Tahoma" w:hAnsi="Tahoma" w:cs="Tahoma"/>
          <w:sz w:val="20"/>
          <w:szCs w:val="20"/>
        </w:rPr>
        <w:lastRenderedPageBreak/>
        <w:t xml:space="preserve">estatal y bajo el cual éstas deben caracterizarse por la </w:t>
      </w:r>
      <w:r w:rsidRPr="004B2985">
        <w:rPr>
          <w:rFonts w:ascii="Tahoma" w:hAnsi="Tahoma" w:cs="Tahoma"/>
          <w:i/>
          <w:iCs/>
          <w:sz w:val="20"/>
          <w:szCs w:val="20"/>
        </w:rPr>
        <w:t>honradez, veracidad, intangibilidad, justicia y probidad</w:t>
      </w:r>
      <w:r w:rsidRPr="004B2985">
        <w:rPr>
          <w:rFonts w:ascii="Tahoma" w:hAnsi="Tahoma" w:cs="Tahoma"/>
          <w:sz w:val="20"/>
          <w:szCs w:val="20"/>
        </w:rPr>
        <w:t>.</w:t>
      </w:r>
    </w:p>
    <w:p w:rsidR="004B2985" w:rsidRPr="004B2985" w:rsidRDefault="004B2985" w:rsidP="004B2985">
      <w:pPr>
        <w:spacing w:after="0" w:line="240" w:lineRule="auto"/>
        <w:ind w:left="720"/>
        <w:jc w:val="both"/>
        <w:rPr>
          <w:rFonts w:ascii="Tahoma" w:hAnsi="Tahoma" w:cs="Tahoma"/>
          <w:b/>
          <w:bCs/>
          <w:sz w:val="20"/>
          <w:szCs w:val="20"/>
        </w:rPr>
      </w:pPr>
    </w:p>
    <w:p w:rsidR="008B7B9A" w:rsidRPr="004B2985" w:rsidRDefault="008B7B9A" w:rsidP="004B2985">
      <w:pPr>
        <w:numPr>
          <w:ilvl w:val="0"/>
          <w:numId w:val="6"/>
        </w:numPr>
        <w:tabs>
          <w:tab w:val="num" w:pos="567"/>
        </w:tabs>
        <w:spacing w:after="0" w:line="240" w:lineRule="auto"/>
        <w:jc w:val="both"/>
        <w:rPr>
          <w:rFonts w:ascii="Tahoma" w:hAnsi="Tahoma" w:cs="Tahoma"/>
          <w:b/>
          <w:bCs/>
          <w:sz w:val="20"/>
          <w:szCs w:val="20"/>
        </w:rPr>
      </w:pPr>
      <w:r w:rsidRPr="004B2985">
        <w:rPr>
          <w:rFonts w:ascii="Tahoma" w:hAnsi="Tahoma" w:cs="Tahoma"/>
          <w:b/>
          <w:bCs/>
          <w:sz w:val="20"/>
          <w:szCs w:val="20"/>
        </w:rPr>
        <w:t xml:space="preserve">  </w:t>
      </w:r>
      <w:r w:rsidRPr="004B2985">
        <w:rPr>
          <w:rFonts w:ascii="Tahoma" w:hAnsi="Tahoma" w:cs="Tahoma"/>
          <w:sz w:val="20"/>
          <w:szCs w:val="20"/>
        </w:rPr>
        <w:t xml:space="preserve">Consecuentemente, la conducta desarrollada por el Postor califica dentro del supuesto de hecho de la infracción tipificada en el numeral 1) literal i) del artículo 51 de la Ley y 237 del Reglamento, por la cual corresponde imponer una sanción administrativa de inhabilitación para ser postor y contratar con el Estado por un período no menor de 12 ni mayor 36 meses, </w:t>
      </w:r>
      <w:r w:rsidRPr="004B2985">
        <w:rPr>
          <w:rFonts w:ascii="Tahoma" w:hAnsi="Tahoma" w:cs="Tahoma"/>
          <w:sz w:val="20"/>
          <w:szCs w:val="20"/>
          <w:lang w:val="es-MX"/>
        </w:rPr>
        <w:t xml:space="preserve">conforme a los criterios </w:t>
      </w:r>
      <w:r w:rsidRPr="004B2985">
        <w:rPr>
          <w:rFonts w:ascii="Tahoma" w:hAnsi="Tahoma" w:cs="Tahoma"/>
          <w:sz w:val="20"/>
          <w:szCs w:val="20"/>
        </w:rPr>
        <w:t>para la determinación gradual de la sanción previstos en el artículo 245</w:t>
      </w:r>
      <w:r w:rsidRPr="004B2985">
        <w:rPr>
          <w:rFonts w:ascii="Tahoma" w:hAnsi="Tahoma" w:cs="Tahoma"/>
          <w:sz w:val="20"/>
          <w:szCs w:val="20"/>
          <w:vertAlign w:val="superscript"/>
        </w:rPr>
        <w:footnoteReference w:id="7"/>
      </w:r>
      <w:r w:rsidRPr="004B2985">
        <w:rPr>
          <w:rFonts w:ascii="Tahoma" w:hAnsi="Tahoma" w:cs="Tahoma"/>
          <w:sz w:val="20"/>
          <w:szCs w:val="20"/>
        </w:rPr>
        <w:t xml:space="preserve"> del Reglamento.</w:t>
      </w: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 xml:space="preserve">Además, debe tenerse en cuenta que de acuerdo al </w:t>
      </w:r>
      <w:r w:rsidRPr="004B2985">
        <w:rPr>
          <w:rFonts w:ascii="Tahoma" w:hAnsi="Tahoma" w:cs="Tahoma"/>
          <w:i/>
          <w:iCs/>
          <w:sz w:val="20"/>
          <w:szCs w:val="20"/>
        </w:rPr>
        <w:t>Principio de Razonabilidad</w:t>
      </w:r>
      <w:r w:rsidRPr="004B2985">
        <w:rPr>
          <w:rFonts w:ascii="Tahoma" w:hAnsi="Tahoma" w:cs="Tahoma"/>
          <w:sz w:val="20"/>
          <w:szCs w:val="20"/>
        </w:rPr>
        <w:t>, consagrado en el numeral 3 del artículo 230º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4B2985" w:rsidRPr="004B2985" w:rsidRDefault="004B2985" w:rsidP="004B2985">
      <w:pPr>
        <w:spacing w:after="0" w:line="240" w:lineRule="auto"/>
        <w:ind w:left="720"/>
        <w:jc w:val="both"/>
        <w:rPr>
          <w:rFonts w:ascii="Tahoma" w:hAnsi="Tahoma" w:cs="Tahoma"/>
          <w:sz w:val="20"/>
          <w:szCs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En lo que atañe a la conducta procesal del infractor durante la sustanciación del presente procedimiento administrativo sancionador, es necesario tener presente que el Postor no ha presentado los descargos solicitados.</w:t>
      </w:r>
    </w:p>
    <w:p w:rsidR="008B7B9A" w:rsidRPr="004B2985" w:rsidRDefault="008B7B9A" w:rsidP="004B2985">
      <w:pPr>
        <w:pStyle w:val="Prrafodelista"/>
        <w:jc w:val="both"/>
        <w:rPr>
          <w:rFonts w:ascii="Tahoma" w:hAnsi="Tahoma" w:cs="Tahoma"/>
          <w:sz w:val="20"/>
        </w:rPr>
      </w:pPr>
    </w:p>
    <w:p w:rsidR="008B7B9A" w:rsidRPr="004B2985" w:rsidRDefault="008B7B9A" w:rsidP="004B2985">
      <w:pPr>
        <w:numPr>
          <w:ilvl w:val="0"/>
          <w:numId w:val="6"/>
        </w:numPr>
        <w:spacing w:after="0" w:line="240" w:lineRule="auto"/>
        <w:jc w:val="both"/>
        <w:rPr>
          <w:rFonts w:ascii="Tahoma" w:hAnsi="Tahoma" w:cs="Tahoma"/>
          <w:sz w:val="20"/>
          <w:szCs w:val="20"/>
        </w:rPr>
      </w:pPr>
      <w:r w:rsidRPr="004B2985">
        <w:rPr>
          <w:rFonts w:ascii="Tahoma" w:hAnsi="Tahoma" w:cs="Tahoma"/>
          <w:sz w:val="20"/>
          <w:szCs w:val="20"/>
        </w:rPr>
        <w:t>Asimismo, lo antes expuesto se encuentra relacionado a la intencionalidad del infractor, pues su conducta llevaba implícita la consecución de un fin, es decir continuar garantizando la entrega del adelanto destinado a materiales e insumos, ocasionando de esta manera que el desembolso de dinero anticipado, realizado por la Entidad, no cuente con un sustento o respaldo financiero real.</w:t>
      </w:r>
    </w:p>
    <w:p w:rsidR="004B2985" w:rsidRPr="004B2985" w:rsidRDefault="004B2985" w:rsidP="004B2985">
      <w:pPr>
        <w:widowControl w:val="0"/>
        <w:suppressAutoHyphens/>
        <w:spacing w:after="0" w:line="240" w:lineRule="auto"/>
        <w:ind w:left="720"/>
        <w:jc w:val="both"/>
        <w:rPr>
          <w:rFonts w:ascii="Tahoma" w:hAnsi="Tahoma" w:cs="Tahoma"/>
          <w:sz w:val="20"/>
          <w:szCs w:val="20"/>
        </w:rPr>
      </w:pPr>
    </w:p>
    <w:p w:rsidR="008B7B9A" w:rsidRPr="004B2985" w:rsidRDefault="008B7B9A" w:rsidP="004B2985">
      <w:pPr>
        <w:widowControl w:val="0"/>
        <w:numPr>
          <w:ilvl w:val="0"/>
          <w:numId w:val="6"/>
        </w:numPr>
        <w:suppressAutoHyphens/>
        <w:spacing w:after="0" w:line="240" w:lineRule="auto"/>
        <w:jc w:val="both"/>
        <w:rPr>
          <w:rFonts w:ascii="Tahoma" w:hAnsi="Tahoma" w:cs="Tahoma"/>
          <w:sz w:val="20"/>
          <w:szCs w:val="20"/>
        </w:rPr>
      </w:pPr>
      <w:r w:rsidRPr="004B2985">
        <w:rPr>
          <w:rFonts w:ascii="Tahoma" w:hAnsi="Tahoma" w:cs="Tahoma"/>
          <w:sz w:val="20"/>
          <w:szCs w:val="20"/>
        </w:rPr>
        <w:t xml:space="preserve">Por otro lado, no puede dejar de valorarse que el Postor ha sido sancionado anteriormente por este Colegiado, mediante Resoluciones Nº 1064-2010-TC-S4 y  2065-2010-TC-S2, por un periodo de 11 y 16 meses, respectivamente, estando impedido para participar en procesos de selección y contratar con el Estado. </w:t>
      </w:r>
    </w:p>
    <w:p w:rsidR="004B2985" w:rsidRPr="004B2985" w:rsidRDefault="004B2985" w:rsidP="004B2985">
      <w:pPr>
        <w:widowControl w:val="0"/>
        <w:suppressAutoHyphens/>
        <w:spacing w:after="0" w:line="240" w:lineRule="auto"/>
        <w:ind w:left="720"/>
        <w:jc w:val="both"/>
        <w:rPr>
          <w:rFonts w:ascii="Tahoma" w:hAnsi="Tahoma" w:cs="Tahoma"/>
          <w:sz w:val="20"/>
          <w:szCs w:val="20"/>
        </w:rPr>
      </w:pPr>
    </w:p>
    <w:p w:rsidR="008B7B9A" w:rsidRPr="004B2985" w:rsidRDefault="008B7B9A" w:rsidP="004B2985">
      <w:pPr>
        <w:widowControl w:val="0"/>
        <w:numPr>
          <w:ilvl w:val="0"/>
          <w:numId w:val="6"/>
        </w:numPr>
        <w:suppressAutoHyphens/>
        <w:spacing w:after="0" w:line="240" w:lineRule="auto"/>
        <w:jc w:val="both"/>
        <w:rPr>
          <w:rFonts w:ascii="Tahoma" w:hAnsi="Tahoma" w:cs="Tahoma"/>
          <w:sz w:val="20"/>
          <w:szCs w:val="20"/>
        </w:rPr>
      </w:pPr>
      <w:r w:rsidRPr="004B2985">
        <w:rPr>
          <w:rFonts w:ascii="Tahoma" w:hAnsi="Tahoma" w:cs="Tahoma"/>
          <w:sz w:val="20"/>
          <w:szCs w:val="20"/>
        </w:rPr>
        <w:t xml:space="preserve">Consecuentemente, en virtud a los criterios expuestos, este Colegiado </w:t>
      </w:r>
      <w:r w:rsidRPr="004B2985">
        <w:rPr>
          <w:rFonts w:ascii="Tahoma" w:hAnsi="Tahoma" w:cs="Tahoma"/>
          <w:sz w:val="20"/>
          <w:szCs w:val="20"/>
        </w:rPr>
        <w:lastRenderedPageBreak/>
        <w:t>considera que corresponde imponer al Postor una sanción equivalente a dieciocho (18) meses de inhabilitación temporal para participar en procesos de selección y para contratar con el Estado.</w:t>
      </w:r>
    </w:p>
    <w:p w:rsidR="004B2985" w:rsidRPr="004B2985" w:rsidRDefault="004B2985" w:rsidP="004B2985">
      <w:pPr>
        <w:spacing w:after="0" w:line="240" w:lineRule="auto"/>
        <w:ind w:left="720"/>
        <w:jc w:val="both"/>
        <w:rPr>
          <w:rFonts w:ascii="Tahoma" w:hAnsi="Tahoma" w:cs="Tahoma"/>
          <w:b/>
          <w:bCs/>
          <w:sz w:val="20"/>
          <w:szCs w:val="20"/>
        </w:rPr>
      </w:pPr>
    </w:p>
    <w:p w:rsidR="008B7B9A" w:rsidRPr="004B2985" w:rsidRDefault="008B7B9A" w:rsidP="004B2985">
      <w:pPr>
        <w:numPr>
          <w:ilvl w:val="0"/>
          <w:numId w:val="6"/>
        </w:numPr>
        <w:spacing w:after="0" w:line="240" w:lineRule="auto"/>
        <w:jc w:val="both"/>
        <w:rPr>
          <w:rFonts w:ascii="Tahoma" w:hAnsi="Tahoma" w:cs="Tahoma"/>
          <w:b/>
          <w:bCs/>
          <w:sz w:val="20"/>
          <w:szCs w:val="20"/>
        </w:rPr>
      </w:pPr>
      <w:r w:rsidRPr="004B2985">
        <w:rPr>
          <w:rFonts w:ascii="Tahoma" w:hAnsi="Tahoma" w:cs="Tahoma"/>
          <w:sz w:val="20"/>
          <w:szCs w:val="20"/>
        </w:rPr>
        <w:t>Finalmente, atendiendo a que la falsificación de documentos constituye un ilícito penal, previsto y sancionado en el artículo 427º del Código Penal</w:t>
      </w:r>
      <w:r w:rsidRPr="004B2985">
        <w:rPr>
          <w:rFonts w:ascii="Tahoma" w:hAnsi="Tahoma" w:cs="Tahoma"/>
          <w:sz w:val="20"/>
          <w:szCs w:val="20"/>
          <w:vertAlign w:val="superscript"/>
        </w:rPr>
        <w:footnoteReference w:id="8"/>
      </w:r>
      <w:r w:rsidRPr="004B2985">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4B2985">
        <w:rPr>
          <w:rFonts w:ascii="Tahoma" w:hAnsi="Tahoma" w:cs="Tahoma"/>
          <w:sz w:val="20"/>
          <w:szCs w:val="20"/>
          <w:vertAlign w:val="superscript"/>
        </w:rPr>
        <w:footnoteReference w:id="9"/>
      </w:r>
      <w:r w:rsidRPr="004B2985">
        <w:rPr>
          <w:rFonts w:ascii="Tahoma" w:hAnsi="Tahoma" w:cs="Tahoma"/>
          <w:sz w:val="20"/>
          <w:szCs w:val="20"/>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8B7B9A" w:rsidRPr="004B2985" w:rsidRDefault="008B7B9A" w:rsidP="004B2985">
      <w:pPr>
        <w:spacing w:after="0" w:line="240" w:lineRule="auto"/>
        <w:ind w:firstLine="567"/>
        <w:jc w:val="both"/>
        <w:rPr>
          <w:rFonts w:ascii="Tahoma" w:hAnsi="Tahoma" w:cs="Tahoma"/>
          <w:sz w:val="20"/>
          <w:szCs w:val="20"/>
          <w:lang w:val="es-ES_tradnl"/>
        </w:rPr>
      </w:pPr>
    </w:p>
    <w:p w:rsidR="008B7B9A" w:rsidRPr="004B2985" w:rsidRDefault="008B7B9A" w:rsidP="004B2985">
      <w:pPr>
        <w:spacing w:after="0" w:line="240" w:lineRule="auto"/>
        <w:ind w:left="-284" w:firstLine="360"/>
        <w:jc w:val="both"/>
        <w:rPr>
          <w:rFonts w:ascii="Tahoma" w:hAnsi="Tahoma" w:cs="Tahoma"/>
          <w:sz w:val="20"/>
          <w:szCs w:val="20"/>
        </w:rPr>
      </w:pPr>
      <w:r w:rsidRPr="004B2985">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ind w:right="-315"/>
        <w:jc w:val="both"/>
        <w:rPr>
          <w:rFonts w:ascii="Tahoma" w:hAnsi="Tahoma" w:cs="Tahoma"/>
          <w:b/>
          <w:sz w:val="20"/>
          <w:szCs w:val="20"/>
        </w:rPr>
      </w:pPr>
      <w:r w:rsidRPr="004B2985">
        <w:rPr>
          <w:rFonts w:ascii="Tahoma" w:hAnsi="Tahoma" w:cs="Tahoma"/>
          <w:b/>
          <w:sz w:val="20"/>
          <w:szCs w:val="20"/>
        </w:rPr>
        <w:t>LA SALA RESUELVE:</w:t>
      </w:r>
    </w:p>
    <w:p w:rsidR="004B2985" w:rsidRPr="004B2985" w:rsidRDefault="004B2985" w:rsidP="004B2985">
      <w:pPr>
        <w:spacing w:after="0" w:line="240" w:lineRule="auto"/>
        <w:ind w:left="360"/>
        <w:jc w:val="both"/>
        <w:rPr>
          <w:rFonts w:ascii="Tahoma" w:hAnsi="Tahoma" w:cs="Tahoma"/>
          <w:sz w:val="20"/>
          <w:szCs w:val="20"/>
        </w:rPr>
      </w:pPr>
    </w:p>
    <w:p w:rsidR="008B7B9A" w:rsidRPr="004B2985" w:rsidRDefault="008B7B9A" w:rsidP="004B2985">
      <w:pPr>
        <w:numPr>
          <w:ilvl w:val="0"/>
          <w:numId w:val="8"/>
        </w:numPr>
        <w:spacing w:after="0" w:line="240" w:lineRule="auto"/>
        <w:jc w:val="both"/>
        <w:rPr>
          <w:rFonts w:ascii="Tahoma" w:hAnsi="Tahoma" w:cs="Tahoma"/>
          <w:sz w:val="20"/>
          <w:szCs w:val="20"/>
        </w:rPr>
      </w:pPr>
      <w:r w:rsidRPr="004B2985">
        <w:rPr>
          <w:rFonts w:ascii="Tahoma" w:hAnsi="Tahoma" w:cs="Tahoma"/>
          <w:sz w:val="20"/>
          <w:szCs w:val="20"/>
          <w:lang w:val="es-PE"/>
        </w:rPr>
        <w:t xml:space="preserve">Imponer a la empresa </w:t>
      </w:r>
      <w:r w:rsidRPr="004B2985">
        <w:rPr>
          <w:rFonts w:ascii="Tahoma" w:hAnsi="Tahoma" w:cs="Tahoma"/>
          <w:sz w:val="20"/>
          <w:szCs w:val="20"/>
        </w:rPr>
        <w:t>El Escorial Constructora e Inmobiliaria S.A.C., sanción administrativa de inhabilitación temporal por el período de dieciocho (18) meses en sus derechos de participar en procesos de selección y contratar con el Estado, por la comisión de la infracción tipificada en el literal i) del numeral 51.1 del artículo 51 de la Ley de Contrataciones del Estado, aprobado por Decreto Legislativo Nº 1017, y en el literal i) del numeral 1 del artículo 237º de su Reglamento, la cual entrará en vigencia a partir del sexto día hábil de notificada la presente Resolución.</w:t>
      </w:r>
    </w:p>
    <w:p w:rsidR="004B2985" w:rsidRPr="004B2985" w:rsidRDefault="004B2985" w:rsidP="004B2985">
      <w:pPr>
        <w:spacing w:after="0" w:line="240" w:lineRule="auto"/>
        <w:ind w:left="360"/>
        <w:jc w:val="both"/>
        <w:rPr>
          <w:rFonts w:ascii="Tahoma" w:hAnsi="Tahoma" w:cs="Tahoma"/>
          <w:sz w:val="20"/>
          <w:szCs w:val="20"/>
        </w:rPr>
      </w:pPr>
    </w:p>
    <w:p w:rsidR="008B7B9A" w:rsidRPr="004B2985" w:rsidRDefault="008B7B9A" w:rsidP="004B2985">
      <w:pPr>
        <w:numPr>
          <w:ilvl w:val="0"/>
          <w:numId w:val="8"/>
        </w:numPr>
        <w:spacing w:after="0" w:line="240" w:lineRule="auto"/>
        <w:jc w:val="both"/>
        <w:rPr>
          <w:rFonts w:ascii="Tahoma" w:hAnsi="Tahoma" w:cs="Tahoma"/>
          <w:sz w:val="20"/>
          <w:szCs w:val="20"/>
        </w:rPr>
      </w:pPr>
      <w:r w:rsidRPr="004B2985">
        <w:rPr>
          <w:rFonts w:ascii="Tahoma" w:hAnsi="Tahoma" w:cs="Tahoma"/>
          <w:sz w:val="20"/>
          <w:szCs w:val="20"/>
        </w:rPr>
        <w:lastRenderedPageBreak/>
        <w:t>Poner la presente Resolución en conocimiento de la Subdirección del Registro Nacional de Proveedores del Organismo Supervisor de la Contrataciones del Estado (OSCE), para las anotaciones de ley.</w:t>
      </w:r>
    </w:p>
    <w:p w:rsidR="008B7B9A" w:rsidRPr="004B2985" w:rsidRDefault="008B7B9A" w:rsidP="004B2985">
      <w:pPr>
        <w:pStyle w:val="Prrafodelista"/>
        <w:jc w:val="both"/>
        <w:rPr>
          <w:rFonts w:ascii="Tahoma" w:hAnsi="Tahoma" w:cs="Tahoma"/>
          <w:sz w:val="20"/>
        </w:rPr>
      </w:pPr>
    </w:p>
    <w:p w:rsidR="008B7B9A" w:rsidRPr="004B2985" w:rsidRDefault="008B7B9A" w:rsidP="004B2985">
      <w:pPr>
        <w:numPr>
          <w:ilvl w:val="0"/>
          <w:numId w:val="8"/>
        </w:numPr>
        <w:spacing w:after="0" w:line="240" w:lineRule="auto"/>
        <w:jc w:val="both"/>
        <w:rPr>
          <w:rFonts w:ascii="Tahoma" w:hAnsi="Tahoma" w:cs="Tahoma"/>
          <w:sz w:val="20"/>
          <w:szCs w:val="20"/>
        </w:rPr>
      </w:pPr>
      <w:r w:rsidRPr="004B2985">
        <w:rPr>
          <w:rFonts w:ascii="Tahoma" w:hAnsi="Tahoma" w:cs="Tahoma"/>
          <w:sz w:val="20"/>
          <w:szCs w:val="20"/>
        </w:rPr>
        <w:t>Poner la presente Resolución en conocimiento del Ministerio Público y de la Presidencia Ejecutiva del Organismo Supervisor de las Contrataciones del Estado (OSCE), para que en mérito de sus atribuciones, adopte las medidas que estime pertinente.</w:t>
      </w:r>
    </w:p>
    <w:p w:rsidR="008B7B9A" w:rsidRPr="004B2985" w:rsidRDefault="008B7B9A" w:rsidP="004B2985">
      <w:pPr>
        <w:spacing w:line="240" w:lineRule="auto"/>
        <w:jc w:val="both"/>
        <w:rPr>
          <w:rFonts w:ascii="Tahoma" w:hAnsi="Tahoma" w:cs="Tahoma"/>
          <w:sz w:val="20"/>
          <w:szCs w:val="20"/>
        </w:rPr>
      </w:pPr>
    </w:p>
    <w:p w:rsidR="008B7B9A" w:rsidRPr="004B2985" w:rsidRDefault="008B7B9A" w:rsidP="004B2985">
      <w:pPr>
        <w:pStyle w:val="Ttulo3"/>
        <w:spacing w:line="240" w:lineRule="auto"/>
        <w:jc w:val="both"/>
        <w:rPr>
          <w:rFonts w:ascii="Tahoma" w:hAnsi="Tahoma" w:cs="Tahoma"/>
          <w:b w:val="0"/>
          <w:bCs w:val="0"/>
          <w:sz w:val="20"/>
          <w:szCs w:val="20"/>
        </w:rPr>
      </w:pPr>
      <w:r w:rsidRPr="004B2985">
        <w:rPr>
          <w:rFonts w:ascii="Tahoma" w:hAnsi="Tahoma" w:cs="Tahoma"/>
          <w:b w:val="0"/>
          <w:sz w:val="20"/>
          <w:szCs w:val="20"/>
        </w:rPr>
        <w:t>Regístrese, comuníquese y publíquese.</w:t>
      </w: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ind w:left="2832" w:firstLine="708"/>
        <w:jc w:val="both"/>
        <w:rPr>
          <w:rFonts w:ascii="Tahoma" w:hAnsi="Tahoma" w:cs="Tahoma"/>
          <w:b/>
          <w:shadow/>
          <w:sz w:val="20"/>
          <w:szCs w:val="20"/>
        </w:rPr>
      </w:pPr>
      <w:r w:rsidRPr="004B2985">
        <w:rPr>
          <w:rFonts w:ascii="Tahoma" w:hAnsi="Tahoma" w:cs="Tahoma"/>
          <w:b/>
          <w:shadow/>
          <w:sz w:val="20"/>
          <w:szCs w:val="20"/>
        </w:rPr>
        <w:t>PRESIDENTE</w:t>
      </w: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b/>
          <w:shadow/>
          <w:sz w:val="20"/>
          <w:szCs w:val="20"/>
        </w:rPr>
      </w:pPr>
    </w:p>
    <w:p w:rsidR="008B7B9A" w:rsidRPr="004B2985" w:rsidRDefault="008B7B9A" w:rsidP="004B2985">
      <w:pPr>
        <w:spacing w:after="0" w:line="240" w:lineRule="auto"/>
        <w:jc w:val="both"/>
        <w:rPr>
          <w:rFonts w:ascii="Tahoma" w:hAnsi="Tahoma" w:cs="Tahoma"/>
          <w:shadow/>
          <w:sz w:val="20"/>
          <w:szCs w:val="20"/>
        </w:rPr>
      </w:pPr>
      <w:r w:rsidRPr="004B2985">
        <w:rPr>
          <w:rFonts w:ascii="Tahoma" w:hAnsi="Tahoma" w:cs="Tahoma"/>
          <w:b/>
          <w:shadow/>
          <w:sz w:val="20"/>
          <w:szCs w:val="20"/>
        </w:rPr>
        <w:t xml:space="preserve">                   VOCAL</w:t>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r>
      <w:r w:rsidRPr="004B2985">
        <w:rPr>
          <w:rFonts w:ascii="Tahoma" w:hAnsi="Tahoma" w:cs="Tahoma"/>
          <w:b/>
          <w:shadow/>
          <w:sz w:val="20"/>
          <w:szCs w:val="20"/>
        </w:rPr>
        <w:tab/>
        <w:t xml:space="preserve">VOCAL                                                                 </w:t>
      </w: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p>
    <w:p w:rsidR="008B7B9A" w:rsidRPr="004B2985" w:rsidRDefault="008B7B9A" w:rsidP="004B2985">
      <w:pPr>
        <w:spacing w:after="0" w:line="240" w:lineRule="auto"/>
        <w:jc w:val="both"/>
        <w:rPr>
          <w:rFonts w:ascii="Tahoma" w:hAnsi="Tahoma" w:cs="Tahoma"/>
          <w:sz w:val="20"/>
          <w:szCs w:val="20"/>
        </w:rPr>
      </w:pPr>
      <w:r w:rsidRPr="004B2985">
        <w:rPr>
          <w:rFonts w:ascii="Tahoma" w:hAnsi="Tahoma" w:cs="Tahoma"/>
          <w:sz w:val="20"/>
          <w:szCs w:val="20"/>
        </w:rPr>
        <w:t>ss.</w:t>
      </w:r>
    </w:p>
    <w:p w:rsidR="008B7B9A" w:rsidRPr="004B2985" w:rsidRDefault="001868BD" w:rsidP="004B2985">
      <w:pPr>
        <w:spacing w:after="0" w:line="240" w:lineRule="auto"/>
        <w:jc w:val="both"/>
        <w:rPr>
          <w:rFonts w:ascii="Tahoma" w:hAnsi="Tahoma" w:cs="Tahoma"/>
          <w:sz w:val="20"/>
          <w:szCs w:val="20"/>
        </w:rPr>
      </w:pPr>
      <w:r>
        <w:rPr>
          <w:rFonts w:ascii="Tahoma" w:hAnsi="Tahoma" w:cs="Tahoma"/>
          <w:sz w:val="20"/>
          <w:szCs w:val="20"/>
        </w:rPr>
        <w:t>Navas Rondón,</w:t>
      </w:r>
    </w:p>
    <w:p w:rsidR="008B7B9A" w:rsidRPr="004B2985" w:rsidRDefault="001868BD" w:rsidP="004B2985">
      <w:pPr>
        <w:spacing w:after="0" w:line="240" w:lineRule="auto"/>
        <w:jc w:val="both"/>
        <w:rPr>
          <w:rFonts w:ascii="Tahoma" w:hAnsi="Tahoma" w:cs="Tahoma"/>
          <w:sz w:val="20"/>
          <w:szCs w:val="20"/>
        </w:rPr>
      </w:pPr>
      <w:r>
        <w:rPr>
          <w:rFonts w:ascii="Tahoma" w:hAnsi="Tahoma" w:cs="Tahoma"/>
          <w:sz w:val="20"/>
          <w:szCs w:val="20"/>
        </w:rPr>
        <w:t>Ramírez Maynetto,</w:t>
      </w:r>
    </w:p>
    <w:p w:rsidR="008B7B9A" w:rsidRPr="004B2985" w:rsidRDefault="008B7B9A" w:rsidP="004B2985">
      <w:pPr>
        <w:spacing w:after="0" w:line="240" w:lineRule="auto"/>
        <w:jc w:val="both"/>
        <w:rPr>
          <w:rFonts w:ascii="Tahoma" w:hAnsi="Tahoma" w:cs="Tahoma"/>
          <w:sz w:val="20"/>
          <w:szCs w:val="20"/>
        </w:rPr>
      </w:pPr>
      <w:r w:rsidRPr="004B2985">
        <w:rPr>
          <w:rFonts w:ascii="Tahoma" w:hAnsi="Tahoma" w:cs="Tahoma"/>
          <w:sz w:val="20"/>
          <w:szCs w:val="20"/>
        </w:rPr>
        <w:t>Basulto Liew</w:t>
      </w:r>
      <w:r w:rsidR="001868BD">
        <w:rPr>
          <w:rFonts w:ascii="Tahoma" w:hAnsi="Tahoma" w:cs="Tahoma"/>
          <w:sz w:val="20"/>
          <w:szCs w:val="20"/>
        </w:rPr>
        <w:t>ald.</w:t>
      </w:r>
    </w:p>
    <w:p w:rsidR="008B7B9A" w:rsidRPr="004B2985" w:rsidRDefault="008B7B9A" w:rsidP="004B2985">
      <w:pPr>
        <w:spacing w:line="240" w:lineRule="auto"/>
        <w:jc w:val="both"/>
        <w:rPr>
          <w:rFonts w:ascii="Tahoma" w:hAnsi="Tahoma" w:cs="Tahoma"/>
          <w:sz w:val="20"/>
          <w:szCs w:val="20"/>
        </w:rPr>
      </w:pPr>
    </w:p>
    <w:p w:rsidR="009B2EE2" w:rsidRPr="004B2985" w:rsidRDefault="009B2EE2" w:rsidP="004B2985">
      <w:pPr>
        <w:spacing w:line="240" w:lineRule="auto"/>
        <w:jc w:val="both"/>
        <w:rPr>
          <w:rFonts w:ascii="Tahoma" w:hAnsi="Tahoma" w:cs="Tahoma"/>
          <w:sz w:val="20"/>
          <w:szCs w:val="20"/>
        </w:rPr>
      </w:pPr>
    </w:p>
    <w:sectPr w:rsidR="009B2EE2" w:rsidRPr="004B2985" w:rsidSect="001868BD">
      <w:headerReference w:type="default" r:id="rId7"/>
      <w:footerReference w:type="default" r:id="rId8"/>
      <w:pgSz w:w="11906" w:h="16838"/>
      <w:pgMar w:top="2836" w:right="184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775" w:rsidRDefault="001C0775" w:rsidP="008B7B9A">
      <w:pPr>
        <w:spacing w:after="0" w:line="240" w:lineRule="auto"/>
      </w:pPr>
      <w:r>
        <w:separator/>
      </w:r>
    </w:p>
  </w:endnote>
  <w:endnote w:type="continuationSeparator" w:id="1">
    <w:p w:rsidR="001C0775" w:rsidRDefault="001C0775" w:rsidP="008B7B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A88" w:rsidRPr="00FD5A0C" w:rsidRDefault="00FB2A88">
    <w:pPr>
      <w:pStyle w:val="Piedepgina"/>
      <w:jc w:val="center"/>
      <w:rPr>
        <w:rFonts w:ascii="Tahoma" w:hAnsi="Tahoma" w:cs="Tahoma"/>
        <w:i/>
        <w:sz w:val="18"/>
        <w:szCs w:val="18"/>
      </w:rPr>
    </w:pPr>
    <w:r w:rsidRPr="00FD5A0C">
      <w:rPr>
        <w:rFonts w:ascii="Tahoma" w:hAnsi="Tahoma" w:cs="Tahoma"/>
        <w:i/>
        <w:sz w:val="18"/>
        <w:szCs w:val="18"/>
      </w:rPr>
      <w:t xml:space="preserve">Página </w:t>
    </w:r>
    <w:r w:rsidR="009E5ADF" w:rsidRPr="00FD5A0C">
      <w:rPr>
        <w:rFonts w:ascii="Tahoma" w:hAnsi="Tahoma" w:cs="Tahoma"/>
        <w:i/>
        <w:sz w:val="18"/>
        <w:szCs w:val="18"/>
      </w:rPr>
      <w:fldChar w:fldCharType="begin"/>
    </w:r>
    <w:r w:rsidRPr="00FD5A0C">
      <w:rPr>
        <w:rFonts w:ascii="Tahoma" w:hAnsi="Tahoma" w:cs="Tahoma"/>
        <w:i/>
        <w:sz w:val="18"/>
        <w:szCs w:val="18"/>
      </w:rPr>
      <w:instrText>PAGE</w:instrText>
    </w:r>
    <w:r w:rsidR="009E5ADF" w:rsidRPr="00FD5A0C">
      <w:rPr>
        <w:rFonts w:ascii="Tahoma" w:hAnsi="Tahoma" w:cs="Tahoma"/>
        <w:i/>
        <w:sz w:val="18"/>
        <w:szCs w:val="18"/>
      </w:rPr>
      <w:fldChar w:fldCharType="separate"/>
    </w:r>
    <w:r w:rsidR="0083238B">
      <w:rPr>
        <w:rFonts w:ascii="Tahoma" w:hAnsi="Tahoma" w:cs="Tahoma"/>
        <w:i/>
        <w:noProof/>
        <w:sz w:val="18"/>
        <w:szCs w:val="18"/>
      </w:rPr>
      <w:t>1</w:t>
    </w:r>
    <w:r w:rsidR="009E5ADF" w:rsidRPr="00FD5A0C">
      <w:rPr>
        <w:rFonts w:ascii="Tahoma" w:hAnsi="Tahoma" w:cs="Tahoma"/>
        <w:i/>
        <w:sz w:val="18"/>
        <w:szCs w:val="18"/>
      </w:rPr>
      <w:fldChar w:fldCharType="end"/>
    </w:r>
    <w:r w:rsidRPr="00FD5A0C">
      <w:rPr>
        <w:rFonts w:ascii="Tahoma" w:hAnsi="Tahoma" w:cs="Tahoma"/>
        <w:i/>
        <w:sz w:val="18"/>
        <w:szCs w:val="18"/>
      </w:rPr>
      <w:t xml:space="preserve"> de </w:t>
    </w:r>
    <w:r w:rsidR="009E5ADF" w:rsidRPr="00FD5A0C">
      <w:rPr>
        <w:rFonts w:ascii="Tahoma" w:hAnsi="Tahoma" w:cs="Tahoma"/>
        <w:i/>
        <w:sz w:val="18"/>
        <w:szCs w:val="18"/>
      </w:rPr>
      <w:fldChar w:fldCharType="begin"/>
    </w:r>
    <w:r w:rsidRPr="00FD5A0C">
      <w:rPr>
        <w:rFonts w:ascii="Tahoma" w:hAnsi="Tahoma" w:cs="Tahoma"/>
        <w:i/>
        <w:sz w:val="18"/>
        <w:szCs w:val="18"/>
      </w:rPr>
      <w:instrText>NUMPAGES</w:instrText>
    </w:r>
    <w:r w:rsidR="009E5ADF" w:rsidRPr="00FD5A0C">
      <w:rPr>
        <w:rFonts w:ascii="Tahoma" w:hAnsi="Tahoma" w:cs="Tahoma"/>
        <w:i/>
        <w:sz w:val="18"/>
        <w:szCs w:val="18"/>
      </w:rPr>
      <w:fldChar w:fldCharType="separate"/>
    </w:r>
    <w:r w:rsidR="0083238B">
      <w:rPr>
        <w:rFonts w:ascii="Tahoma" w:hAnsi="Tahoma" w:cs="Tahoma"/>
        <w:i/>
        <w:noProof/>
        <w:sz w:val="18"/>
        <w:szCs w:val="18"/>
      </w:rPr>
      <w:t>8</w:t>
    </w:r>
    <w:r w:rsidR="009E5ADF" w:rsidRPr="00FD5A0C">
      <w:rPr>
        <w:rFonts w:ascii="Tahoma" w:hAnsi="Tahoma" w:cs="Tahoma"/>
        <w:i/>
        <w:sz w:val="18"/>
        <w:szCs w:val="18"/>
      </w:rPr>
      <w:fldChar w:fldCharType="end"/>
    </w:r>
  </w:p>
  <w:p w:rsidR="00FB2A88" w:rsidRDefault="00FB2A8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775" w:rsidRDefault="001C0775" w:rsidP="008B7B9A">
      <w:pPr>
        <w:spacing w:after="0" w:line="240" w:lineRule="auto"/>
      </w:pPr>
      <w:r>
        <w:separator/>
      </w:r>
    </w:p>
  </w:footnote>
  <w:footnote w:type="continuationSeparator" w:id="1">
    <w:p w:rsidR="001C0775" w:rsidRDefault="001C0775" w:rsidP="008B7B9A">
      <w:pPr>
        <w:spacing w:after="0" w:line="240" w:lineRule="auto"/>
      </w:pPr>
      <w:r>
        <w:continuationSeparator/>
      </w:r>
    </w:p>
  </w:footnote>
  <w:footnote w:id="2">
    <w:p w:rsidR="00FB2A88" w:rsidRPr="0040213E" w:rsidRDefault="00FB2A88" w:rsidP="008B7B9A">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Aprobada por Decreto Legislativo Nº 1017.</w:t>
      </w:r>
    </w:p>
    <w:p w:rsidR="00FB2A88" w:rsidRDefault="00FB2A88" w:rsidP="008B7B9A">
      <w:pPr>
        <w:pStyle w:val="Textonotapie"/>
      </w:pPr>
    </w:p>
  </w:footnote>
  <w:footnote w:id="3">
    <w:p w:rsidR="00FB2A88" w:rsidRPr="0040213E" w:rsidRDefault="00FB2A88" w:rsidP="008B7B9A">
      <w:pPr>
        <w:pStyle w:val="Textonotapie"/>
        <w:rPr>
          <w:rFonts w:ascii="Times New Roman" w:hAnsi="Times New Roman" w:cs="Times New Roman"/>
          <w:i/>
          <w:iCs/>
          <w:sz w:val="18"/>
          <w:szCs w:val="18"/>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Aprobado por Decreto Supremo Nº 184-2008-EF.</w:t>
      </w:r>
    </w:p>
    <w:p w:rsidR="00FB2A88" w:rsidRDefault="00FB2A88" w:rsidP="008B7B9A">
      <w:pPr>
        <w:pStyle w:val="Textonotapie"/>
      </w:pPr>
    </w:p>
  </w:footnote>
  <w:footnote w:id="4">
    <w:p w:rsidR="00FB2A88" w:rsidRPr="0040213E" w:rsidRDefault="00FB2A88" w:rsidP="008B7B9A">
      <w:pPr>
        <w:pStyle w:val="Textonotapie"/>
        <w:rPr>
          <w:rFonts w:ascii="Times New Roman" w:hAnsi="Times New Roman" w:cs="Times New Roman"/>
          <w:i/>
          <w:iCs/>
          <w:sz w:val="18"/>
          <w:szCs w:val="18"/>
        </w:rPr>
      </w:pPr>
      <w:r w:rsidRPr="0040213E">
        <w:rPr>
          <w:rStyle w:val="Refdenotaalpie"/>
          <w:rFonts w:ascii="Times New Roman" w:hAnsi="Times New Roman" w:cs="Times New Roman"/>
          <w:b/>
          <w:bCs/>
          <w:i/>
          <w:iCs/>
          <w:sz w:val="18"/>
          <w:szCs w:val="18"/>
        </w:rPr>
        <w:footnoteRef/>
      </w:r>
      <w:r w:rsidRPr="0040213E">
        <w:rPr>
          <w:rFonts w:ascii="Times New Roman" w:hAnsi="Times New Roman" w:cs="Times New Roman"/>
          <w:i/>
          <w:iCs/>
          <w:sz w:val="18"/>
          <w:szCs w:val="18"/>
        </w:rPr>
        <w:t xml:space="preserve"> </w:t>
      </w:r>
      <w:r w:rsidRPr="0040213E">
        <w:rPr>
          <w:rFonts w:ascii="Times New Roman" w:hAnsi="Times New Roman" w:cs="Times New Roman"/>
          <w:b/>
          <w:bCs/>
          <w:i/>
          <w:iCs/>
          <w:sz w:val="18"/>
          <w:szCs w:val="18"/>
        </w:rPr>
        <w:t>El Principio de Presunción de Veracidad</w:t>
      </w:r>
      <w:r w:rsidRPr="0040213E">
        <w:rPr>
          <w:rFonts w:ascii="Times New Roman" w:hAnsi="Times New Roman" w:cs="Times New Roman"/>
          <w:i/>
          <w:iCs/>
          <w:sz w:val="18"/>
          <w:szCs w:val="18"/>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rFonts w:ascii="Times New Roman" w:hAnsi="Times New Roman" w:cs="Times New Roman"/>
          <w:b/>
          <w:bCs/>
          <w:i/>
          <w:iCs/>
          <w:sz w:val="18"/>
          <w:szCs w:val="18"/>
        </w:rPr>
        <w:t>Comentarios a la Ley del Procedimiento Administrativo General</w:t>
      </w:r>
      <w:r w:rsidRPr="0040213E">
        <w:rPr>
          <w:rFonts w:ascii="Times New Roman" w:hAnsi="Times New Roman" w:cs="Times New Roman"/>
          <w:i/>
          <w:iCs/>
          <w:sz w:val="18"/>
          <w:szCs w:val="18"/>
        </w:rPr>
        <w:t>. Cuarta Edición. Lima: Gaceta Jurídica, 2005; pp. 74 -75.</w:t>
      </w:r>
    </w:p>
    <w:p w:rsidR="00FB2A88" w:rsidRDefault="00FB2A88" w:rsidP="008B7B9A">
      <w:pPr>
        <w:pStyle w:val="Textonotapie"/>
      </w:pPr>
    </w:p>
  </w:footnote>
  <w:footnote w:id="5">
    <w:p w:rsidR="00FB2A88" w:rsidRDefault="00FB2A88" w:rsidP="008B7B9A">
      <w:pPr>
        <w:pStyle w:val="Textonotapie"/>
      </w:pPr>
      <w:r w:rsidRPr="00E65606">
        <w:rPr>
          <w:rStyle w:val="Refdenotaalpie"/>
          <w:rFonts w:ascii="Times New Roman" w:hAnsi="Times New Roman" w:cs="Times New Roman"/>
          <w:i/>
          <w:iCs/>
          <w:sz w:val="18"/>
          <w:szCs w:val="18"/>
        </w:rPr>
        <w:footnoteRef/>
      </w:r>
      <w:r w:rsidRPr="00E65606">
        <w:rPr>
          <w:rFonts w:ascii="Times New Roman" w:hAnsi="Times New Roman" w:cs="Times New Roman"/>
          <w:i/>
          <w:iCs/>
          <w:sz w:val="18"/>
          <w:szCs w:val="18"/>
        </w:rPr>
        <w:t xml:space="preserve"> Documento obrante a fojas </w:t>
      </w:r>
      <w:r>
        <w:rPr>
          <w:rFonts w:ascii="Times New Roman" w:hAnsi="Times New Roman" w:cs="Times New Roman"/>
          <w:i/>
          <w:iCs/>
          <w:sz w:val="18"/>
          <w:szCs w:val="18"/>
        </w:rPr>
        <w:t>06</w:t>
      </w:r>
      <w:r w:rsidRPr="00E65606">
        <w:rPr>
          <w:rFonts w:ascii="Times New Roman" w:hAnsi="Times New Roman" w:cs="Times New Roman"/>
          <w:i/>
          <w:iCs/>
          <w:sz w:val="18"/>
          <w:szCs w:val="18"/>
        </w:rPr>
        <w:t xml:space="preserve"> del expediente administrativo</w:t>
      </w:r>
    </w:p>
  </w:footnote>
  <w:footnote w:id="6">
    <w:p w:rsidR="00FB2A88" w:rsidRDefault="00FB2A88" w:rsidP="008B7B9A">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7">
    <w:p w:rsidR="00FB2A88" w:rsidRPr="00F42138" w:rsidRDefault="00FB2A88" w:rsidP="008B7B9A">
      <w:pPr>
        <w:pStyle w:val="Textonotapie"/>
        <w:ind w:left="142" w:hanging="142"/>
        <w:rPr>
          <w:rFonts w:ascii="Times New Roman" w:hAnsi="Times New Roman" w:cs="Times New Roman"/>
          <w:b/>
          <w:bCs/>
          <w:i/>
          <w:iCs/>
          <w:sz w:val="16"/>
          <w:szCs w:val="16"/>
          <w:lang w:val="es-ES_tradnl"/>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b/>
          <w:bCs/>
          <w:i/>
          <w:iCs/>
          <w:sz w:val="18"/>
          <w:szCs w:val="18"/>
        </w:rPr>
        <w:t xml:space="preserve"> </w:t>
      </w:r>
      <w:r w:rsidRPr="00F42138">
        <w:rPr>
          <w:rFonts w:ascii="Times New Roman" w:hAnsi="Times New Roman" w:cs="Times New Roman"/>
          <w:b/>
          <w:bCs/>
          <w:i/>
          <w:iCs/>
          <w:sz w:val="16"/>
          <w:szCs w:val="16"/>
          <w:lang w:val="es-ES_tradnl"/>
        </w:rPr>
        <w:t>Artículo 245.- Determinación gradual de la sanción.-</w:t>
      </w:r>
    </w:p>
    <w:p w:rsidR="00FB2A88" w:rsidRPr="00F42138" w:rsidRDefault="00FB2A88" w:rsidP="008B7B9A">
      <w:pPr>
        <w:pStyle w:val="Textonotapie"/>
        <w:ind w:left="142"/>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Para graduar la sanción de inhabilitación temporal a imponerse conforme a las disposiciones del presente Título, el Tribunal considerará los siguientes criterios:</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Naturaleza de la infracción.</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Intencionalidad del infractor.</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Daño causado.</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Reiterancia.</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El reconocimiento de la infracción cometida antes de que sea detectada.</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Circunstancias de tiempo, lugar y modo.</w:t>
      </w:r>
    </w:p>
    <w:p w:rsidR="00FB2A88" w:rsidRPr="00F42138" w:rsidRDefault="00FB2A88" w:rsidP="008B7B9A">
      <w:pPr>
        <w:pStyle w:val="Textonotapie"/>
        <w:numPr>
          <w:ilvl w:val="0"/>
          <w:numId w:val="7"/>
        </w:numPr>
        <w:tabs>
          <w:tab w:val="num" w:pos="284"/>
        </w:tabs>
        <w:ind w:left="284" w:firstLine="0"/>
        <w:rPr>
          <w:rFonts w:ascii="Times New Roman" w:hAnsi="Times New Roman" w:cs="Times New Roman"/>
          <w:i/>
          <w:iCs/>
          <w:sz w:val="16"/>
          <w:szCs w:val="16"/>
          <w:lang w:val="es-ES_tradnl"/>
        </w:rPr>
      </w:pPr>
      <w:r w:rsidRPr="00F42138">
        <w:rPr>
          <w:rFonts w:ascii="Times New Roman" w:hAnsi="Times New Roman" w:cs="Times New Roman"/>
          <w:i/>
          <w:iCs/>
          <w:sz w:val="16"/>
          <w:szCs w:val="16"/>
          <w:lang w:val="es-ES_tradnl"/>
        </w:rPr>
        <w:t>Condiciones del infractor.</w:t>
      </w:r>
    </w:p>
    <w:p w:rsidR="00FB2A88" w:rsidRDefault="00FB2A88" w:rsidP="008B7B9A">
      <w:pPr>
        <w:pStyle w:val="Textonotapie"/>
        <w:numPr>
          <w:ilvl w:val="0"/>
          <w:numId w:val="7"/>
        </w:numPr>
        <w:tabs>
          <w:tab w:val="num" w:pos="284"/>
        </w:tabs>
        <w:ind w:left="284" w:firstLine="0"/>
      </w:pPr>
      <w:r w:rsidRPr="00F42138">
        <w:rPr>
          <w:rFonts w:ascii="Times New Roman" w:hAnsi="Times New Roman" w:cs="Times New Roman"/>
          <w:i/>
          <w:iCs/>
          <w:sz w:val="16"/>
          <w:szCs w:val="16"/>
          <w:lang w:val="es-ES_tradnl"/>
        </w:rPr>
        <w:t xml:space="preserve">Conducta procesal del infractor. </w:t>
      </w:r>
    </w:p>
  </w:footnote>
  <w:footnote w:id="8">
    <w:p w:rsidR="00FB2A88" w:rsidRPr="00F42138" w:rsidRDefault="00FB2A88" w:rsidP="008B7B9A">
      <w:pPr>
        <w:pStyle w:val="Textonotapie"/>
        <w:rPr>
          <w:rFonts w:ascii="Times New Roman" w:hAnsi="Times New Roman" w:cs="Times New Roman"/>
          <w:b/>
          <w:bCs/>
          <w:i/>
          <w:iCs/>
          <w:sz w:val="16"/>
          <w:szCs w:val="16"/>
        </w:rPr>
      </w:pPr>
      <w:r w:rsidRPr="0040213E">
        <w:rPr>
          <w:rStyle w:val="Refdenotaalpie"/>
          <w:rFonts w:ascii="Times New Roman" w:hAnsi="Times New Roman" w:cs="Times New Roman"/>
          <w:i/>
          <w:iCs/>
          <w:sz w:val="18"/>
          <w:szCs w:val="18"/>
        </w:rPr>
        <w:footnoteRef/>
      </w:r>
      <w:r w:rsidRPr="0040213E">
        <w:rPr>
          <w:rFonts w:ascii="Times New Roman" w:hAnsi="Times New Roman" w:cs="Times New Roman"/>
          <w:i/>
          <w:iCs/>
          <w:sz w:val="18"/>
          <w:szCs w:val="18"/>
        </w:rPr>
        <w:t xml:space="preserve"> </w:t>
      </w:r>
      <w:r w:rsidRPr="00F42138">
        <w:rPr>
          <w:rFonts w:ascii="Times New Roman" w:hAnsi="Times New Roman" w:cs="Times New Roman"/>
          <w:b/>
          <w:bCs/>
          <w:i/>
          <w:iCs/>
          <w:sz w:val="16"/>
          <w:szCs w:val="16"/>
        </w:rPr>
        <w:t>Artículo 427.- Falsificación de documentos</w:t>
      </w:r>
    </w:p>
    <w:p w:rsidR="00FB2A88" w:rsidRDefault="00FB2A88" w:rsidP="008B7B9A">
      <w:pPr>
        <w:pStyle w:val="Textonotapie"/>
      </w:pPr>
      <w:r w:rsidRPr="00F42138">
        <w:rPr>
          <w:rFonts w:ascii="Times New Roman" w:hAnsi="Times New Roman" w:cs="Times New Roman"/>
          <w:i/>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9">
    <w:p w:rsidR="00FB2A88" w:rsidRPr="00F42138" w:rsidRDefault="00FB2A88" w:rsidP="008B7B9A">
      <w:pPr>
        <w:pStyle w:val="Textonotapie"/>
        <w:rPr>
          <w:rFonts w:ascii="Times New Roman" w:hAnsi="Times New Roman" w:cs="Times New Roman"/>
          <w:i/>
          <w:iCs/>
          <w:sz w:val="16"/>
          <w:szCs w:val="16"/>
        </w:rPr>
      </w:pPr>
      <w:r w:rsidRPr="00F42138">
        <w:rPr>
          <w:rStyle w:val="Refdenotaalpie"/>
          <w:rFonts w:ascii="Times New Roman" w:hAnsi="Times New Roman" w:cs="Times New Roman"/>
          <w:i/>
          <w:iCs/>
          <w:sz w:val="16"/>
          <w:szCs w:val="16"/>
        </w:rPr>
        <w:footnoteRef/>
      </w:r>
      <w:r w:rsidRPr="00F42138">
        <w:rPr>
          <w:rFonts w:ascii="Times New Roman" w:hAnsi="Times New Roman" w:cs="Times New Roman"/>
          <w:i/>
          <w:iCs/>
          <w:sz w:val="16"/>
          <w:szCs w:val="16"/>
        </w:rPr>
        <w:t xml:space="preserve"> </w:t>
      </w:r>
      <w:r w:rsidRPr="00F42138">
        <w:rPr>
          <w:rFonts w:ascii="Times New Roman" w:hAnsi="Times New Roman" w:cs="Times New Roman"/>
          <w:b/>
          <w:bCs/>
          <w:i/>
          <w:iCs/>
          <w:sz w:val="16"/>
          <w:szCs w:val="16"/>
        </w:rPr>
        <w:t>Artículo 438.- Falsedad genérica</w:t>
      </w:r>
      <w:r w:rsidRPr="00F42138">
        <w:rPr>
          <w:rFonts w:ascii="Times New Roman" w:hAnsi="Times New Roman" w:cs="Times New Roman"/>
          <w:i/>
          <w:iCs/>
          <w:sz w:val="16"/>
          <w:szCs w:val="16"/>
        </w:rPr>
        <w:t xml:space="preserve"> </w:t>
      </w:r>
    </w:p>
    <w:p w:rsidR="00FB2A88" w:rsidRDefault="00FB2A88" w:rsidP="008B7B9A">
      <w:pPr>
        <w:pStyle w:val="Textonotapie"/>
      </w:pPr>
      <w:r w:rsidRPr="00F42138">
        <w:rPr>
          <w:rFonts w:ascii="Times New Roman" w:hAnsi="Times New Roman" w:cs="Times New Roman"/>
          <w:i/>
          <w:iCs/>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8B" w:rsidRDefault="0083238B" w:rsidP="0083238B">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83238B" w:rsidRDefault="0083238B" w:rsidP="0083238B">
    <w:pPr>
      <w:pStyle w:val="Encabezado"/>
      <w:rPr>
        <w:noProof/>
      </w:rPr>
    </w:pPr>
  </w:p>
  <w:p w:rsidR="0083238B" w:rsidRDefault="0083238B" w:rsidP="0083238B">
    <w:pPr>
      <w:pStyle w:val="Encabezado"/>
      <w:rPr>
        <w:noProof/>
      </w:rPr>
    </w:pPr>
  </w:p>
  <w:p w:rsidR="0083238B" w:rsidRDefault="0083238B" w:rsidP="0083238B">
    <w:pPr>
      <w:pStyle w:val="Encabezado"/>
      <w:rPr>
        <w:noProof/>
      </w:rPr>
    </w:pPr>
  </w:p>
  <w:p w:rsidR="0083238B" w:rsidRDefault="0083238B" w:rsidP="0083238B">
    <w:pPr>
      <w:pStyle w:val="Encabezado"/>
      <w:jc w:val="center"/>
    </w:pPr>
    <w:r>
      <w:rPr>
        <w:rFonts w:ascii="Monotype Corsiva" w:hAnsi="Monotype Corsiva"/>
        <w:b/>
        <w:sz w:val="44"/>
        <w:szCs w:val="44"/>
      </w:rPr>
      <w:t xml:space="preserve">Resolución Nº   </w:t>
    </w:r>
    <w:r>
      <w:rPr>
        <w:rFonts w:ascii="Tahoma" w:hAnsi="Tahoma" w:cs="Tahoma"/>
        <w:b/>
        <w:sz w:val="44"/>
        <w:szCs w:val="44"/>
      </w:rPr>
      <w:t>678-2011-TC-S1</w:t>
    </w:r>
  </w:p>
  <w:p w:rsidR="0083238B" w:rsidRDefault="0083238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D89661A"/>
    <w:multiLevelType w:val="hybridMultilevel"/>
    <w:tmpl w:val="896EEB22"/>
    <w:lvl w:ilvl="0" w:tplc="B9A0C6C8">
      <w:start w:val="1"/>
      <w:numFmt w:val="decimal"/>
      <w:lvlText w:val="%1."/>
      <w:lvlJc w:val="left"/>
      <w:pPr>
        <w:tabs>
          <w:tab w:val="num" w:pos="454"/>
        </w:tabs>
        <w:ind w:left="454" w:hanging="454"/>
      </w:pPr>
      <w:rPr>
        <w:rFonts w:ascii="Tahoma" w:hAnsi="Tahoma" w:cs="Tahoma" w:hint="default"/>
        <w:b/>
        <w:bCs/>
        <w:i w:val="0"/>
        <w:iCs w:val="0"/>
        <w:shadow/>
        <w:emboss w:val="0"/>
        <w:imprint w:val="0"/>
        <w:color w:val="auto"/>
        <w:sz w:val="20"/>
        <w:szCs w:val="20"/>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bCs/>
        <w:sz w:val="22"/>
        <w:szCs w:val="22"/>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3">
    <w:nsid w:val="2A604CF2"/>
    <w:multiLevelType w:val="hybridMultilevel"/>
    <w:tmpl w:val="46802A76"/>
    <w:lvl w:ilvl="0" w:tplc="52E8E292">
      <w:start w:val="1"/>
      <w:numFmt w:val="decimal"/>
      <w:lvlText w:val="%1)"/>
      <w:lvlJc w:val="left"/>
      <w:pPr>
        <w:tabs>
          <w:tab w:val="num" w:pos="644"/>
        </w:tabs>
        <w:ind w:left="644" w:hanging="360"/>
      </w:pPr>
      <w:rPr>
        <w:rFonts w:hint="default"/>
        <w:b w:val="0"/>
        <w:bCs w:val="0"/>
        <w:i/>
        <w:iCs/>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6">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8B7B9A"/>
    <w:rsid w:val="001868BD"/>
    <w:rsid w:val="001C0775"/>
    <w:rsid w:val="00454B8E"/>
    <w:rsid w:val="004B2985"/>
    <w:rsid w:val="0066645E"/>
    <w:rsid w:val="0083238B"/>
    <w:rsid w:val="008B7B9A"/>
    <w:rsid w:val="0096071E"/>
    <w:rsid w:val="009B2EE2"/>
    <w:rsid w:val="009E5ADF"/>
    <w:rsid w:val="00B37E9C"/>
    <w:rsid w:val="00C3700E"/>
    <w:rsid w:val="00FB2A8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B9A"/>
    <w:rPr>
      <w:rFonts w:ascii="Calibri" w:eastAsia="Calibri" w:hAnsi="Calibri" w:cs="Times New Roman"/>
    </w:rPr>
  </w:style>
  <w:style w:type="paragraph" w:styleId="Ttulo2">
    <w:name w:val="heading 2"/>
    <w:basedOn w:val="Normal"/>
    <w:next w:val="Normal"/>
    <w:link w:val="Ttulo2Car"/>
    <w:qFormat/>
    <w:rsid w:val="008B7B9A"/>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8B7B9A"/>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B7B9A"/>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8B7B9A"/>
    <w:rPr>
      <w:rFonts w:ascii="Arial" w:eastAsia="Calibri" w:hAnsi="Arial" w:cs="Arial"/>
      <w:b/>
      <w:bCs/>
      <w:sz w:val="26"/>
      <w:szCs w:val="26"/>
    </w:rPr>
  </w:style>
  <w:style w:type="paragraph" w:styleId="Textoindependiente3">
    <w:name w:val="Body Text 3"/>
    <w:basedOn w:val="Normal"/>
    <w:link w:val="Textoindependiente3Car"/>
    <w:semiHidden/>
    <w:unhideWhenUsed/>
    <w:rsid w:val="008B7B9A"/>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8B7B9A"/>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8B7B9A"/>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8B7B9A"/>
    <w:pPr>
      <w:tabs>
        <w:tab w:val="center" w:pos="4252"/>
        <w:tab w:val="right" w:pos="8504"/>
      </w:tabs>
    </w:pPr>
  </w:style>
  <w:style w:type="character" w:customStyle="1" w:styleId="PiedepginaCar">
    <w:name w:val="Pie de página Car"/>
    <w:basedOn w:val="Fuentedeprrafopredeter"/>
    <w:link w:val="Piedepgina"/>
    <w:uiPriority w:val="99"/>
    <w:rsid w:val="008B7B9A"/>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Car2 Car1 Car,Texto independiente11"/>
    <w:basedOn w:val="Normal"/>
    <w:link w:val="TextonotapieCar"/>
    <w:uiPriority w:val="99"/>
    <w:rsid w:val="008B7B9A"/>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8B7B9A"/>
    <w:rPr>
      <w:rFonts w:ascii="Tahoma" w:eastAsia="Calibri" w:hAnsi="Tahoma" w:cs="Tahoma"/>
      <w:sz w:val="20"/>
      <w:szCs w:val="20"/>
    </w:rPr>
  </w:style>
  <w:style w:type="character" w:styleId="Refdenotaalpie">
    <w:name w:val="footnote reference"/>
    <w:basedOn w:val="Fuentedeprrafopredeter"/>
    <w:uiPriority w:val="99"/>
    <w:semiHidden/>
    <w:rsid w:val="008B7B9A"/>
    <w:rPr>
      <w:vertAlign w:val="superscript"/>
    </w:rPr>
  </w:style>
  <w:style w:type="paragraph" w:styleId="Textoindependiente">
    <w:name w:val="Body Text"/>
    <w:basedOn w:val="Normal"/>
    <w:link w:val="TextoindependienteCar"/>
    <w:uiPriority w:val="99"/>
    <w:semiHidden/>
    <w:unhideWhenUsed/>
    <w:rsid w:val="008B7B9A"/>
    <w:pPr>
      <w:spacing w:after="120"/>
    </w:pPr>
  </w:style>
  <w:style w:type="character" w:customStyle="1" w:styleId="TextoindependienteCar">
    <w:name w:val="Texto independiente Car"/>
    <w:basedOn w:val="Fuentedeprrafopredeter"/>
    <w:link w:val="Textoindependiente"/>
    <w:uiPriority w:val="99"/>
    <w:semiHidden/>
    <w:rsid w:val="008B7B9A"/>
    <w:rPr>
      <w:rFonts w:ascii="Calibri" w:eastAsia="Calibri" w:hAnsi="Calibri" w:cs="Times New Roman"/>
    </w:rPr>
  </w:style>
  <w:style w:type="paragraph" w:styleId="NormalWeb">
    <w:name w:val="Normal (Web)"/>
    <w:basedOn w:val="Normal"/>
    <w:uiPriority w:val="99"/>
    <w:rsid w:val="008B7B9A"/>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8B7B9A"/>
    <w:pPr>
      <w:spacing w:after="0" w:line="240" w:lineRule="auto"/>
      <w:ind w:left="720"/>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83238B"/>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83238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9538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2859</Words>
  <Characters>15728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2011-04-19T17:21:00Z</cp:lastPrinted>
  <dcterms:created xsi:type="dcterms:W3CDTF">2011-04-19T16:59:00Z</dcterms:created>
  <dcterms:modified xsi:type="dcterms:W3CDTF">2011-05-12T20:59:00Z</dcterms:modified>
</cp:coreProperties>
</file>